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6E" w:rsidRDefault="0063396E">
      <w:pPr>
        <w:rPr>
          <w:rFonts w:ascii="Times New Roman" w:hAnsi="Times New Roman"/>
          <w:sz w:val="24"/>
          <w:lang w:val="en-GB"/>
        </w:rPr>
      </w:pPr>
    </w:p>
    <w:p w:rsidR="0063396E" w:rsidRDefault="0063396E">
      <w:pPr>
        <w:jc w:val="right"/>
        <w:rPr>
          <w:rFonts w:ascii="Times New Roman" w:hAnsi="Times New Roman"/>
          <w:sz w:val="24"/>
          <w:lang w:val="en-GB"/>
        </w:rPr>
      </w:pPr>
    </w:p>
    <w:p w:rsidR="004C5099" w:rsidRDefault="004C5099" w:rsidP="004C5099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="Times New Roman" w:hAnsi="Times New Roman"/>
        </w:rPr>
      </w:pPr>
    </w:p>
    <w:p w:rsidR="004C5099" w:rsidRDefault="004C5099" w:rsidP="004C5099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="Times New Roman" w:hAnsi="Times New Roman"/>
        </w:rPr>
      </w:pPr>
    </w:p>
    <w:p w:rsidR="004C5099" w:rsidRDefault="004C5099" w:rsidP="004C5099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="Times New Roman" w:hAnsi="Times New Roman"/>
        </w:rPr>
      </w:pPr>
    </w:p>
    <w:p w:rsidR="00D56240" w:rsidRDefault="00D56240" w:rsidP="000449B4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="Times New Roman" w:hAnsi="Times New Roman"/>
        </w:rPr>
      </w:pPr>
    </w:p>
    <w:p w:rsidR="004F063C" w:rsidRPr="00A570C7" w:rsidRDefault="004F063C" w:rsidP="004F063C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70C7">
        <w:rPr>
          <w:rFonts w:asciiTheme="minorHAnsi" w:hAnsiTheme="minorHAnsi" w:cstheme="minorHAnsi"/>
          <w:b/>
          <w:sz w:val="32"/>
          <w:szCs w:val="32"/>
        </w:rPr>
        <w:t xml:space="preserve">Minutes of </w:t>
      </w:r>
      <w:r w:rsidRPr="00A570C7">
        <w:rPr>
          <w:rFonts w:asciiTheme="minorHAnsi" w:eastAsiaTheme="minorHAnsi" w:hAnsiTheme="minorHAnsi"/>
          <w:b/>
          <w:sz w:val="32"/>
          <w:szCs w:val="32"/>
        </w:rPr>
        <w:t xml:space="preserve">Tripartite Terminal Project Review Meeting of </w:t>
      </w:r>
      <w:r w:rsidRPr="00A570C7">
        <w:rPr>
          <w:rFonts w:asciiTheme="minorHAnsi" w:hAnsiTheme="minorHAnsi" w:cstheme="minorHAnsi"/>
          <w:b/>
          <w:sz w:val="32"/>
          <w:szCs w:val="32"/>
        </w:rPr>
        <w:t xml:space="preserve">Sustainable Rural Energy Development (SRED) Programme </w:t>
      </w:r>
    </w:p>
    <w:p w:rsidR="004F063C" w:rsidRPr="00A570C7" w:rsidRDefault="004F063C" w:rsidP="004F063C">
      <w:pPr>
        <w:spacing w:after="120"/>
        <w:jc w:val="center"/>
        <w:rPr>
          <w:rFonts w:cstheme="minorHAnsi" w:hint="eastAsia"/>
        </w:rPr>
      </w:pPr>
    </w:p>
    <w:p w:rsidR="004F063C" w:rsidRPr="00A570C7" w:rsidRDefault="004F063C" w:rsidP="004F063C">
      <w:pPr>
        <w:jc w:val="center"/>
        <w:rPr>
          <w:rFonts w:asciiTheme="minorHAnsi" w:hAnsiTheme="minorHAnsi" w:cstheme="minorHAnsi"/>
          <w:sz w:val="22"/>
          <w:szCs w:val="22"/>
        </w:rPr>
      </w:pPr>
      <w:r w:rsidRPr="00A570C7">
        <w:rPr>
          <w:rFonts w:asciiTheme="minorHAnsi" w:hAnsiTheme="minorHAnsi" w:cstheme="minorHAnsi"/>
          <w:sz w:val="22"/>
          <w:szCs w:val="22"/>
        </w:rPr>
        <w:t>Venue: UNDP CO, Pyongyang, DPRK.</w:t>
      </w:r>
    </w:p>
    <w:p w:rsidR="004F063C" w:rsidRPr="00A570C7" w:rsidRDefault="004F063C" w:rsidP="004F063C">
      <w:pPr>
        <w:jc w:val="center"/>
        <w:rPr>
          <w:rFonts w:asciiTheme="minorHAnsi" w:hAnsiTheme="minorHAnsi" w:cstheme="minorHAnsi"/>
          <w:sz w:val="22"/>
          <w:szCs w:val="22"/>
        </w:rPr>
      </w:pPr>
      <w:r w:rsidRPr="00A570C7">
        <w:rPr>
          <w:rFonts w:asciiTheme="minorHAnsi" w:hAnsiTheme="minorHAnsi" w:cstheme="minorHAnsi"/>
          <w:sz w:val="22"/>
          <w:szCs w:val="22"/>
        </w:rPr>
        <w:t xml:space="preserve">Date and time: </w:t>
      </w:r>
      <w:r w:rsidRPr="00A570C7">
        <w:rPr>
          <w:rFonts w:asciiTheme="minorHAnsi" w:hAnsiTheme="minorHAnsi" w:cstheme="minorHAnsi"/>
          <w:sz w:val="22"/>
          <w:szCs w:val="22"/>
          <w:lang w:eastAsia="zh-TW"/>
        </w:rPr>
        <w:t>21 October</w:t>
      </w:r>
      <w:r w:rsidRPr="00A570C7">
        <w:rPr>
          <w:rFonts w:asciiTheme="minorHAnsi" w:hAnsiTheme="minorHAnsi" w:cstheme="minorHAnsi"/>
          <w:sz w:val="22"/>
          <w:szCs w:val="22"/>
        </w:rPr>
        <w:t xml:space="preserve"> 201</w:t>
      </w:r>
      <w:r w:rsidRPr="00A570C7">
        <w:rPr>
          <w:rFonts w:asciiTheme="minorHAnsi" w:hAnsiTheme="minorHAnsi" w:cstheme="minorHAnsi"/>
          <w:sz w:val="22"/>
          <w:szCs w:val="22"/>
          <w:lang w:eastAsia="zh-TW"/>
        </w:rPr>
        <w:t>4</w:t>
      </w:r>
      <w:r w:rsidRPr="00A570C7">
        <w:rPr>
          <w:rFonts w:asciiTheme="minorHAnsi" w:hAnsiTheme="minorHAnsi" w:cstheme="minorHAnsi"/>
          <w:sz w:val="22"/>
          <w:szCs w:val="22"/>
        </w:rPr>
        <w:t xml:space="preserve"> from 10:00 – 1</w:t>
      </w:r>
      <w:r w:rsidRPr="00A570C7">
        <w:rPr>
          <w:rFonts w:asciiTheme="minorHAnsi" w:hAnsiTheme="minorHAnsi" w:cstheme="minorHAnsi"/>
          <w:sz w:val="22"/>
          <w:szCs w:val="22"/>
          <w:lang w:eastAsia="zh-TW"/>
        </w:rPr>
        <w:t>2:00</w:t>
      </w:r>
    </w:p>
    <w:p w:rsidR="004F063C" w:rsidRPr="00A570C7" w:rsidRDefault="004F063C" w:rsidP="004F063C">
      <w:pPr>
        <w:spacing w:before="240"/>
        <w:jc w:val="center"/>
        <w:rPr>
          <w:rFonts w:eastAsiaTheme="minorHAnsi"/>
          <w:sz w:val="22"/>
          <w:szCs w:val="22"/>
        </w:rPr>
      </w:pPr>
    </w:p>
    <w:p w:rsidR="004F063C" w:rsidRPr="00A570C7" w:rsidRDefault="004F063C" w:rsidP="004F063C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A570C7">
        <w:rPr>
          <w:rFonts w:asciiTheme="minorHAnsi" w:hAnsiTheme="minorHAnsi" w:cstheme="minorHAnsi"/>
          <w:sz w:val="22"/>
          <w:szCs w:val="22"/>
        </w:rPr>
        <w:t xml:space="preserve">Tripartite Terminal Project Review (TTPR) Meeting of </w:t>
      </w:r>
      <w:r w:rsidR="00313F15" w:rsidRPr="00A570C7">
        <w:rPr>
          <w:rFonts w:asciiTheme="minorHAnsi" w:hAnsiTheme="minorHAnsi" w:cstheme="minorHAnsi"/>
          <w:sz w:val="22"/>
          <w:szCs w:val="22"/>
        </w:rPr>
        <w:t>SRED</w:t>
      </w:r>
      <w:r w:rsidRPr="00A570C7">
        <w:rPr>
          <w:rFonts w:asciiTheme="minorHAnsi" w:hAnsiTheme="minorHAnsi" w:cstheme="minorHAnsi"/>
          <w:sz w:val="22"/>
          <w:szCs w:val="22"/>
        </w:rPr>
        <w:t xml:space="preserve"> was presided over by Co-chairpersons, </w:t>
      </w:r>
      <w:r w:rsidRPr="00A570C7">
        <w:rPr>
          <w:rFonts w:asciiTheme="minorHAnsi" w:hAnsiTheme="minorHAnsi" w:cstheme="minorHAnsi"/>
          <w:sz w:val="22"/>
          <w:szCs w:val="22"/>
          <w:lang w:eastAsia="zh-TW"/>
        </w:rPr>
        <w:t xml:space="preserve">Ms. Shabnam Mallick, </w:t>
      </w:r>
      <w:r w:rsidRPr="00A570C7">
        <w:rPr>
          <w:rFonts w:asciiTheme="minorHAnsi" w:hAnsiTheme="minorHAnsi" w:cstheme="minorHAnsi" w:hint="eastAsia"/>
          <w:sz w:val="22"/>
          <w:szCs w:val="22"/>
          <w:lang w:eastAsia="zh-TW"/>
        </w:rPr>
        <w:t xml:space="preserve">Deputy Resident Representative and </w:t>
      </w:r>
      <w:r w:rsidRPr="00A570C7">
        <w:rPr>
          <w:rFonts w:asciiTheme="minorHAnsi" w:hAnsiTheme="minorHAnsi" w:cstheme="minorHAnsi"/>
          <w:sz w:val="22"/>
          <w:szCs w:val="22"/>
        </w:rPr>
        <w:t>Mr. Pak Kyong Chol, Coordinator of NCC for UNDP</w:t>
      </w:r>
      <w:r w:rsidR="00B30DB2">
        <w:rPr>
          <w:rFonts w:asciiTheme="minorHAnsi" w:hAnsiTheme="minorHAnsi" w:cstheme="minorHAnsi"/>
          <w:sz w:val="22"/>
          <w:szCs w:val="22"/>
        </w:rPr>
        <w:t xml:space="preserve"> </w:t>
      </w:r>
      <w:r w:rsidR="00B30DB2" w:rsidRPr="00A570C7">
        <w:rPr>
          <w:rFonts w:asciiTheme="minorHAnsi" w:hAnsiTheme="minorHAnsi" w:cstheme="minorHAnsi"/>
          <w:sz w:val="22"/>
          <w:szCs w:val="22"/>
        </w:rPr>
        <w:t>(See</w:t>
      </w:r>
      <w:r w:rsidR="00B30DB2">
        <w:rPr>
          <w:rFonts w:asciiTheme="minorHAnsi" w:hAnsiTheme="minorHAnsi" w:cstheme="minorHAnsi"/>
          <w:sz w:val="22"/>
          <w:szCs w:val="22"/>
        </w:rPr>
        <w:t xml:space="preserve"> Annex 1</w:t>
      </w:r>
      <w:r w:rsidR="00B30DB2" w:rsidRPr="00A570C7">
        <w:rPr>
          <w:rFonts w:asciiTheme="minorHAnsi" w:hAnsiTheme="minorHAnsi" w:cstheme="minorHAnsi"/>
          <w:sz w:val="22"/>
          <w:szCs w:val="22"/>
        </w:rPr>
        <w:t>)</w:t>
      </w:r>
      <w:r w:rsidRPr="00A570C7">
        <w:rPr>
          <w:rFonts w:asciiTheme="minorHAnsi" w:hAnsiTheme="minorHAnsi" w:cstheme="minorHAnsi"/>
          <w:sz w:val="22"/>
          <w:szCs w:val="22"/>
        </w:rPr>
        <w:t>. There were attended by programme and project officers, senior officers and experts from UNDP, Ministry of Electrical Power Industry</w:t>
      </w:r>
      <w:r w:rsidR="008C0C55" w:rsidRPr="00A570C7">
        <w:rPr>
          <w:rFonts w:asciiTheme="minorHAnsi" w:hAnsiTheme="minorHAnsi" w:cstheme="minorHAnsi"/>
          <w:sz w:val="22"/>
          <w:szCs w:val="22"/>
        </w:rPr>
        <w:t xml:space="preserve"> and State Academy of Science</w:t>
      </w:r>
      <w:r w:rsidRPr="00A570C7">
        <w:rPr>
          <w:rFonts w:asciiTheme="minorHAnsi" w:hAnsiTheme="minorHAnsi" w:cstheme="minorHAnsi"/>
          <w:sz w:val="22"/>
          <w:szCs w:val="22"/>
        </w:rPr>
        <w:t xml:space="preserve"> (see List of Participants in the Annex 2).</w:t>
      </w:r>
    </w:p>
    <w:p w:rsidR="004F063C" w:rsidRPr="00A570C7" w:rsidRDefault="004F063C" w:rsidP="004F063C">
      <w:pPr>
        <w:pStyle w:val="ListParagraph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570C7">
        <w:rPr>
          <w:rFonts w:asciiTheme="minorHAnsi" w:hAnsiTheme="minorHAnsi" w:cstheme="minorHAnsi"/>
          <w:sz w:val="22"/>
          <w:szCs w:val="22"/>
        </w:rPr>
        <w:t xml:space="preserve">The co-chairpersons welcomed the </w:t>
      </w:r>
      <w:r w:rsidR="00B30DB2" w:rsidRPr="00A570C7">
        <w:rPr>
          <w:rFonts w:asciiTheme="minorHAnsi" w:hAnsiTheme="minorHAnsi" w:cstheme="minorHAnsi"/>
          <w:sz w:val="22"/>
          <w:szCs w:val="22"/>
        </w:rPr>
        <w:t>participants for</w:t>
      </w:r>
      <w:r w:rsidRPr="00A570C7">
        <w:rPr>
          <w:rFonts w:asciiTheme="minorHAnsi" w:hAnsiTheme="minorHAnsi" w:cstheme="minorHAnsi"/>
          <w:sz w:val="22"/>
          <w:szCs w:val="22"/>
        </w:rPr>
        <w:t xml:space="preserve"> coming to review the termination of project and discuss on lessons learnt, follow up actions and fund management.</w:t>
      </w:r>
    </w:p>
    <w:p w:rsidR="004F063C" w:rsidRPr="00A570C7" w:rsidRDefault="004F063C" w:rsidP="004F063C">
      <w:p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</w:p>
    <w:p w:rsidR="004F063C" w:rsidRPr="00A570C7" w:rsidRDefault="001D2818" w:rsidP="004F063C">
      <w:pPr>
        <w:ind w:firstLine="360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>
        <w:rPr>
          <w:rFonts w:asciiTheme="minorHAnsi" w:hAnsiTheme="minorHAnsi" w:cstheme="minorHAnsi"/>
          <w:sz w:val="22"/>
          <w:szCs w:val="22"/>
        </w:rPr>
        <w:t>Zharas Takenov, Project Manager (</w:t>
      </w:r>
      <w:r w:rsidR="004F063C" w:rsidRPr="00A570C7">
        <w:rPr>
          <w:rFonts w:asciiTheme="minorHAnsi" w:hAnsiTheme="minorHAnsi" w:cstheme="minorHAnsi"/>
          <w:sz w:val="22"/>
          <w:szCs w:val="22"/>
        </w:rPr>
        <w:t>PM</w:t>
      </w:r>
      <w:r>
        <w:rPr>
          <w:rFonts w:asciiTheme="minorHAnsi" w:hAnsiTheme="minorHAnsi" w:cstheme="minorHAnsi"/>
          <w:sz w:val="22"/>
          <w:szCs w:val="22"/>
        </w:rPr>
        <w:t>)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 of SRED informed that the SRED Final Project Review Report was prepared and shared in advance with participants. PM presentation is highlighted that the task of TTPR is to a</w:t>
      </w:r>
      <w:r w:rsidR="004F063C" w:rsidRPr="00A570C7">
        <w:rPr>
          <w:rFonts w:asciiTheme="minorHAnsi" w:hAnsiTheme="minorHAnsi" w:cstheme="minorHAnsi"/>
          <w:bCs/>
          <w:sz w:val="22"/>
          <w:szCs w:val="22"/>
          <w:lang w:val="en-GB" w:eastAsia="zh-TW"/>
        </w:rPr>
        <w:t>assess</w:t>
      </w:r>
      <w:r w:rsidR="004F063C"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 xml:space="preserve"> the performance and success of the project, and its contribution to related outcomes. </w:t>
      </w:r>
      <w:r w:rsidR="004F063C" w:rsidRPr="00A570C7">
        <w:rPr>
          <w:rFonts w:asciiTheme="minorHAnsi" w:hAnsiTheme="minorHAnsi" w:cstheme="minorHAnsi" w:hint="cs"/>
          <w:sz w:val="22"/>
          <w:szCs w:val="22"/>
          <w:lang w:val="en-GB" w:eastAsia="zh-TW"/>
        </w:rPr>
        <w:t xml:space="preserve">Topics during the </w:t>
      </w:r>
      <w:r w:rsidR="004F063C" w:rsidRPr="00A570C7">
        <w:rPr>
          <w:rFonts w:asciiTheme="minorHAnsi" w:hAnsiTheme="minorHAnsi" w:cstheme="minorHAnsi"/>
          <w:sz w:val="22"/>
          <w:szCs w:val="22"/>
          <w:lang w:val="en-GB" w:eastAsia="zh-TW"/>
        </w:rPr>
        <w:t>review included</w:t>
      </w:r>
      <w:r w:rsidR="004F063C" w:rsidRPr="00A570C7">
        <w:rPr>
          <w:rFonts w:asciiTheme="minorHAnsi" w:hAnsiTheme="minorHAnsi" w:cstheme="minorHAnsi" w:hint="cs"/>
          <w:sz w:val="22"/>
          <w:szCs w:val="22"/>
          <w:lang w:val="en-GB" w:eastAsia="zh-TW"/>
        </w:rPr>
        <w:t>:</w:t>
      </w:r>
    </w:p>
    <w:p w:rsidR="004F063C" w:rsidRPr="00A570C7" w:rsidRDefault="004F063C" w:rsidP="004F063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>Achievements of last year targets</w:t>
      </w:r>
      <w:r w:rsidRPr="00A570C7">
        <w:rPr>
          <w:rFonts w:asciiTheme="minorHAnsi" w:hAnsiTheme="minorHAnsi" w:cstheme="minorHAnsi"/>
          <w:bCs/>
          <w:sz w:val="22"/>
          <w:szCs w:val="22"/>
          <w:lang w:val="en-GB" w:eastAsia="zh-TW"/>
        </w:rPr>
        <w:t>;</w:t>
      </w:r>
    </w:p>
    <w:p w:rsidR="004F063C" w:rsidRPr="00A570C7" w:rsidRDefault="004F063C" w:rsidP="004F063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>Overall project performance and sustainability of results</w:t>
      </w:r>
      <w:r w:rsidRPr="00A570C7">
        <w:rPr>
          <w:rFonts w:asciiTheme="minorHAnsi" w:hAnsiTheme="minorHAnsi" w:cstheme="minorHAnsi"/>
          <w:bCs/>
          <w:sz w:val="22"/>
          <w:szCs w:val="22"/>
          <w:lang w:val="en-GB" w:eastAsia="zh-TW"/>
        </w:rPr>
        <w:t>;</w:t>
      </w:r>
    </w:p>
    <w:p w:rsidR="004F063C" w:rsidRPr="00A570C7" w:rsidRDefault="004F063C" w:rsidP="004F063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>Achievement on capacity development</w:t>
      </w:r>
      <w:r w:rsidRPr="00A570C7">
        <w:rPr>
          <w:rFonts w:asciiTheme="minorHAnsi" w:hAnsiTheme="minorHAnsi" w:cstheme="minorHAnsi"/>
          <w:bCs/>
          <w:sz w:val="22"/>
          <w:szCs w:val="22"/>
          <w:lang w:val="en-GB" w:eastAsia="zh-TW"/>
        </w:rPr>
        <w:t>;</w:t>
      </w: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 xml:space="preserve"> </w:t>
      </w:r>
    </w:p>
    <w:p w:rsidR="004F063C" w:rsidRPr="00A570C7" w:rsidRDefault="004F063C" w:rsidP="004F063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>Outstanding activities</w:t>
      </w:r>
      <w:r w:rsidRPr="00A570C7">
        <w:rPr>
          <w:rFonts w:asciiTheme="minorHAnsi" w:hAnsiTheme="minorHAnsi" w:cstheme="minorHAnsi"/>
          <w:bCs/>
          <w:sz w:val="22"/>
          <w:szCs w:val="22"/>
          <w:lang w:val="en-GB" w:eastAsia="zh-TW"/>
        </w:rPr>
        <w:t>;</w:t>
      </w: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 xml:space="preserve"> </w:t>
      </w:r>
    </w:p>
    <w:p w:rsidR="004F063C" w:rsidRPr="00A570C7" w:rsidRDefault="004F063C" w:rsidP="004F063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>Lessons learned</w:t>
      </w:r>
      <w:r w:rsidRPr="00A570C7">
        <w:rPr>
          <w:rFonts w:asciiTheme="minorHAnsi" w:hAnsiTheme="minorHAnsi" w:cstheme="minorHAnsi"/>
          <w:bCs/>
          <w:sz w:val="22"/>
          <w:szCs w:val="22"/>
          <w:lang w:val="en-GB" w:eastAsia="zh-TW"/>
        </w:rPr>
        <w:t>;</w:t>
      </w: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 xml:space="preserve"> </w:t>
      </w:r>
    </w:p>
    <w:p w:rsidR="004F063C" w:rsidRPr="00A570C7" w:rsidRDefault="004F063C" w:rsidP="004F063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>Use of remaining budget, if any</w:t>
      </w:r>
      <w:r w:rsidRPr="00A570C7">
        <w:rPr>
          <w:rFonts w:asciiTheme="minorHAnsi" w:hAnsiTheme="minorHAnsi" w:cstheme="minorHAnsi"/>
          <w:bCs/>
          <w:sz w:val="22"/>
          <w:szCs w:val="22"/>
          <w:lang w:val="en-GB" w:eastAsia="zh-TW"/>
        </w:rPr>
        <w:t>;</w:t>
      </w: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 xml:space="preserve"> </w:t>
      </w:r>
    </w:p>
    <w:p w:rsidR="004F063C" w:rsidRPr="00A570C7" w:rsidRDefault="004F063C" w:rsidP="004F063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>Effective date of project closure</w:t>
      </w:r>
      <w:r w:rsidRPr="00A570C7">
        <w:rPr>
          <w:rFonts w:asciiTheme="minorHAnsi" w:hAnsiTheme="minorHAnsi" w:cstheme="minorHAnsi"/>
          <w:bCs/>
          <w:sz w:val="22"/>
          <w:szCs w:val="22"/>
          <w:lang w:val="en-GB" w:eastAsia="zh-TW"/>
        </w:rPr>
        <w:t>;</w:t>
      </w:r>
    </w:p>
    <w:p w:rsidR="004F063C" w:rsidRPr="00A570C7" w:rsidRDefault="004F063C" w:rsidP="004F063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>Transitioning of responsibilities to national counterparts</w:t>
      </w:r>
      <w:r w:rsidRPr="00A570C7">
        <w:rPr>
          <w:rFonts w:asciiTheme="minorHAnsi" w:hAnsiTheme="minorHAnsi" w:cstheme="minorHAnsi"/>
          <w:bCs/>
          <w:sz w:val="22"/>
          <w:szCs w:val="22"/>
          <w:lang w:val="en-GB" w:eastAsia="zh-TW"/>
        </w:rPr>
        <w:t>;</w:t>
      </w:r>
    </w:p>
    <w:p w:rsidR="004F063C" w:rsidRPr="00A570C7" w:rsidRDefault="004F063C" w:rsidP="004F063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 xml:space="preserve"> Hand-over of remaining assets</w:t>
      </w:r>
      <w:r w:rsidRPr="00A570C7">
        <w:rPr>
          <w:rFonts w:asciiTheme="minorHAnsi" w:hAnsiTheme="minorHAnsi" w:cstheme="minorHAnsi"/>
          <w:bCs/>
          <w:sz w:val="22"/>
          <w:szCs w:val="22"/>
          <w:lang w:val="en-GB" w:eastAsia="zh-TW"/>
        </w:rPr>
        <w:t>.</w:t>
      </w:r>
      <w:r w:rsidRPr="00A570C7">
        <w:rPr>
          <w:rFonts w:asciiTheme="minorHAnsi" w:hAnsiTheme="minorHAnsi" w:cstheme="minorHAnsi" w:hint="cs"/>
          <w:bCs/>
          <w:sz w:val="22"/>
          <w:szCs w:val="22"/>
          <w:lang w:val="en-GB" w:eastAsia="zh-TW"/>
        </w:rPr>
        <w:t xml:space="preserve"> </w:t>
      </w:r>
    </w:p>
    <w:p w:rsidR="004F063C" w:rsidRPr="00A570C7" w:rsidRDefault="004F063C" w:rsidP="004F063C">
      <w:p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</w:p>
    <w:p w:rsidR="004F063C" w:rsidRPr="00A570C7" w:rsidRDefault="004F063C" w:rsidP="004F063C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  <w:lang w:eastAsia="zh-TW"/>
        </w:rPr>
      </w:pPr>
      <w:r w:rsidRPr="00A570C7">
        <w:rPr>
          <w:rFonts w:asciiTheme="minorHAnsi" w:hAnsiTheme="minorHAnsi" w:cstheme="minorHAnsi"/>
          <w:bCs/>
          <w:sz w:val="22"/>
          <w:szCs w:val="22"/>
          <w:lang w:eastAsia="zh-TW"/>
        </w:rPr>
        <w:t>While endorsing in general good overall project performance of SRED project</w:t>
      </w:r>
      <w:r w:rsidRPr="00A570C7">
        <w:rPr>
          <w:rFonts w:asciiTheme="minorHAnsi" w:hAnsiTheme="minorHAnsi" w:cstheme="minorHAnsi" w:hint="cs"/>
          <w:bCs/>
          <w:sz w:val="22"/>
          <w:szCs w:val="22"/>
          <w:lang w:eastAsia="zh-TW"/>
        </w:rPr>
        <w:t xml:space="preserve"> </w:t>
      </w:r>
      <w:r w:rsidR="001C5A9A" w:rsidRPr="00A570C7">
        <w:rPr>
          <w:rFonts w:asciiTheme="minorHAnsi" w:hAnsiTheme="minorHAnsi" w:cstheme="minorHAnsi"/>
          <w:bCs/>
          <w:sz w:val="22"/>
          <w:szCs w:val="22"/>
          <w:lang w:eastAsia="zh-TW"/>
        </w:rPr>
        <w:t xml:space="preserve">(See Annex 3) </w:t>
      </w:r>
      <w:r w:rsidRPr="00A570C7">
        <w:rPr>
          <w:rFonts w:asciiTheme="minorHAnsi" w:hAnsiTheme="minorHAnsi" w:cstheme="minorHAnsi"/>
          <w:bCs/>
          <w:sz w:val="22"/>
          <w:szCs w:val="22"/>
          <w:lang w:eastAsia="zh-TW"/>
        </w:rPr>
        <w:t>the members of TTPR meeting reconfirmed achievement of</w:t>
      </w:r>
      <w:r w:rsidR="009932E2" w:rsidRPr="00A570C7">
        <w:rPr>
          <w:rFonts w:asciiTheme="minorHAnsi" w:hAnsiTheme="minorHAnsi" w:cstheme="minorHAnsi"/>
          <w:bCs/>
          <w:sz w:val="22"/>
          <w:szCs w:val="22"/>
          <w:lang w:eastAsia="zh-TW"/>
        </w:rPr>
        <w:t xml:space="preserve"> outputs</w:t>
      </w:r>
      <w:r w:rsidRPr="00A570C7">
        <w:rPr>
          <w:rFonts w:asciiTheme="minorHAnsi" w:hAnsiTheme="minorHAnsi" w:cstheme="minorHAnsi"/>
          <w:bCs/>
          <w:sz w:val="22"/>
          <w:szCs w:val="22"/>
          <w:lang w:eastAsia="zh-TW"/>
        </w:rPr>
        <w:t xml:space="preserve"> as following:</w:t>
      </w:r>
    </w:p>
    <w:p w:rsidR="009932E2" w:rsidRPr="00A570C7" w:rsidRDefault="009932E2" w:rsidP="009932E2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  <w:lang w:eastAsia="zh-TW"/>
        </w:rPr>
      </w:pPr>
      <w:r w:rsidRPr="00A570C7">
        <w:rPr>
          <w:rFonts w:asciiTheme="minorHAnsi" w:hAnsiTheme="minorHAnsi" w:cstheme="minorHAnsi"/>
          <w:bCs/>
          <w:sz w:val="22"/>
          <w:szCs w:val="22"/>
          <w:lang w:eastAsia="zh-TW"/>
        </w:rPr>
        <w:t xml:space="preserve">Programme Development Phase: </w:t>
      </w:r>
    </w:p>
    <w:p w:rsidR="009932E2" w:rsidRPr="00A570C7" w:rsidRDefault="009932E2" w:rsidP="009932E2">
      <w:pPr>
        <w:jc w:val="both"/>
        <w:rPr>
          <w:rFonts w:asciiTheme="minorHAnsi" w:hAnsiTheme="minorHAnsi" w:cstheme="minorHAnsi"/>
          <w:bCs/>
          <w:sz w:val="22"/>
          <w:szCs w:val="22"/>
          <w:lang w:eastAsia="zh-TW"/>
        </w:rPr>
      </w:pPr>
      <w:r w:rsidRPr="00A570C7">
        <w:rPr>
          <w:rFonts w:asciiTheme="minorHAnsi" w:hAnsiTheme="minorHAnsi" w:cstheme="minorHAnsi"/>
          <w:bCs/>
          <w:sz w:val="22"/>
          <w:szCs w:val="22"/>
          <w:lang w:eastAsia="zh-TW"/>
        </w:rPr>
        <w:t>“Provinces and cooperative farms identified for pilot demonstration schemes in rural energy development” are completed in 2011.</w:t>
      </w:r>
    </w:p>
    <w:p w:rsidR="009932E2" w:rsidRPr="00A570C7" w:rsidRDefault="009932E2" w:rsidP="009932E2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  <w:lang w:eastAsia="zh-TW"/>
        </w:rPr>
      </w:pPr>
      <w:r w:rsidRPr="00A570C7">
        <w:rPr>
          <w:rFonts w:asciiTheme="minorHAnsi" w:hAnsiTheme="minorHAnsi" w:cstheme="minorHAnsi"/>
          <w:bCs/>
          <w:sz w:val="22"/>
          <w:szCs w:val="22"/>
          <w:lang w:eastAsia="zh-TW"/>
        </w:rPr>
        <w:t xml:space="preserve">Implementation Phase: </w:t>
      </w:r>
    </w:p>
    <w:p w:rsidR="009932E2" w:rsidRPr="00A570C7" w:rsidRDefault="009932E2" w:rsidP="009932E2">
      <w:pPr>
        <w:jc w:val="both"/>
        <w:rPr>
          <w:rFonts w:asciiTheme="minorHAnsi" w:hAnsiTheme="minorHAnsi" w:cstheme="minorHAnsi"/>
          <w:bCs/>
          <w:sz w:val="22"/>
          <w:szCs w:val="22"/>
          <w:lang w:eastAsia="zh-TW"/>
        </w:rPr>
      </w:pPr>
      <w:r w:rsidRPr="00A570C7">
        <w:rPr>
          <w:rFonts w:asciiTheme="minorHAnsi" w:hAnsiTheme="minorHAnsi" w:cstheme="minorHAnsi"/>
          <w:bCs/>
          <w:sz w:val="22"/>
          <w:szCs w:val="22"/>
          <w:lang w:eastAsia="zh-TW"/>
        </w:rPr>
        <w:t xml:space="preserve">“Demonstration activities implemented and running successfully is completed” in 2014; </w:t>
      </w:r>
    </w:p>
    <w:p w:rsidR="009932E2" w:rsidRPr="00A570C7" w:rsidRDefault="009932E2" w:rsidP="009932E2">
      <w:pPr>
        <w:jc w:val="both"/>
        <w:rPr>
          <w:rFonts w:asciiTheme="minorHAnsi" w:hAnsiTheme="minorHAnsi" w:cstheme="minorHAnsi"/>
          <w:bCs/>
          <w:sz w:val="22"/>
          <w:szCs w:val="22"/>
          <w:lang w:eastAsia="zh-TW"/>
        </w:rPr>
      </w:pPr>
      <w:r w:rsidRPr="00A570C7">
        <w:rPr>
          <w:rFonts w:asciiTheme="minorHAnsi" w:hAnsiTheme="minorHAnsi" w:cstheme="minorHAnsi"/>
          <w:bCs/>
          <w:sz w:val="22"/>
          <w:szCs w:val="22"/>
          <w:lang w:eastAsia="zh-TW"/>
        </w:rPr>
        <w:t>“Capacity development needs identified and training programmes implemented” is completed in 2012;</w:t>
      </w:r>
    </w:p>
    <w:p w:rsidR="009932E2" w:rsidRPr="00A570C7" w:rsidRDefault="009932E2" w:rsidP="009932E2">
      <w:pPr>
        <w:jc w:val="both"/>
        <w:rPr>
          <w:rFonts w:asciiTheme="minorHAnsi" w:hAnsiTheme="minorHAnsi" w:cstheme="minorHAnsi"/>
          <w:bCs/>
          <w:sz w:val="22"/>
          <w:szCs w:val="22"/>
          <w:lang w:eastAsia="zh-TW"/>
        </w:rPr>
      </w:pPr>
      <w:r w:rsidRPr="00A570C7">
        <w:rPr>
          <w:rFonts w:asciiTheme="minorHAnsi" w:hAnsiTheme="minorHAnsi" w:cstheme="minorHAnsi"/>
          <w:bCs/>
          <w:sz w:val="22"/>
          <w:szCs w:val="22"/>
          <w:lang w:eastAsia="zh-TW"/>
        </w:rPr>
        <w:t>“Lessons learned and ‘good-practices’ compiled for sharing and knowledge management” is partially completed in 2014;</w:t>
      </w:r>
    </w:p>
    <w:p w:rsidR="004F063C" w:rsidRPr="00A570C7" w:rsidRDefault="009932E2" w:rsidP="009932E2">
      <w:pPr>
        <w:jc w:val="both"/>
        <w:rPr>
          <w:rFonts w:asciiTheme="minorHAnsi" w:hAnsiTheme="minorHAnsi" w:cstheme="minorHAnsi"/>
          <w:bCs/>
          <w:sz w:val="22"/>
          <w:szCs w:val="22"/>
          <w:lang w:eastAsia="zh-TW"/>
        </w:rPr>
      </w:pPr>
      <w:r w:rsidRPr="00A570C7">
        <w:rPr>
          <w:rFonts w:asciiTheme="minorHAnsi" w:hAnsiTheme="minorHAnsi" w:cstheme="minorHAnsi"/>
          <w:bCs/>
          <w:sz w:val="22"/>
          <w:szCs w:val="22"/>
          <w:lang w:eastAsia="zh-TW"/>
        </w:rPr>
        <w:t>“New rural energy initiative designed” is completed in 2014.</w:t>
      </w:r>
    </w:p>
    <w:p w:rsidR="004F063C" w:rsidRPr="00A570C7" w:rsidRDefault="004F063C" w:rsidP="004F063C">
      <w:pPr>
        <w:ind w:firstLine="360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</w:p>
    <w:p w:rsidR="008F660A" w:rsidRPr="00A570C7" w:rsidRDefault="008F660A" w:rsidP="007B349B">
      <w:pPr>
        <w:pStyle w:val="NoSpacing"/>
        <w:jc w:val="both"/>
        <w:rPr>
          <w:rFonts w:eastAsia="PMingLiU"/>
        </w:rPr>
      </w:pPr>
      <w:r w:rsidRPr="00A570C7">
        <w:rPr>
          <w:rFonts w:eastAsia="PMingLiU"/>
        </w:rPr>
        <w:t xml:space="preserve">Total Project Budget after resumption in 2010 was US$ 5,035,596. During 5 years from 2005-2010 the Project spent only 13.6% of the resources. In 2011 the delivery drastically increased to 14.8%, 27.3% in 2012, 20.9% in 2013. Cooperative Farms provided in-kind </w:t>
      </w:r>
      <w:r w:rsidR="007B349B" w:rsidRPr="00A570C7">
        <w:rPr>
          <w:rFonts w:eastAsia="PMingLiU"/>
        </w:rPr>
        <w:t>l</w:t>
      </w:r>
      <w:r w:rsidRPr="00A570C7">
        <w:rPr>
          <w:rFonts w:eastAsia="PMingLiU"/>
        </w:rPr>
        <w:t>ocal labor and safety premises to storage of procured equipment and materials.</w:t>
      </w:r>
    </w:p>
    <w:p w:rsidR="008F660A" w:rsidRPr="00A570C7" w:rsidRDefault="008F660A" w:rsidP="007B349B">
      <w:pPr>
        <w:pStyle w:val="NoSpacing"/>
        <w:jc w:val="both"/>
        <w:rPr>
          <w:rFonts w:eastAsia="Calibri"/>
        </w:rPr>
      </w:pPr>
      <w:r w:rsidRPr="00A570C7">
        <w:rPr>
          <w:rFonts w:eastAsia="Calibri"/>
        </w:rPr>
        <w:t>Breakdown of budget by years from 2006-2014:</w:t>
      </w:r>
    </w:p>
    <w:p w:rsidR="008F660A" w:rsidRPr="00A570C7" w:rsidRDefault="008F660A" w:rsidP="008F660A">
      <w:pPr>
        <w:pStyle w:val="NoSpacing"/>
        <w:rPr>
          <w:rFonts w:eastAsia="PMingLiU"/>
        </w:rPr>
      </w:pPr>
    </w:p>
    <w:tbl>
      <w:tblPr>
        <w:tblW w:w="946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1186"/>
        <w:gridCol w:w="1350"/>
        <w:gridCol w:w="1350"/>
        <w:gridCol w:w="1187"/>
        <w:gridCol w:w="1530"/>
        <w:gridCol w:w="1245"/>
      </w:tblGrid>
      <w:tr w:rsidR="008F660A" w:rsidRPr="00A570C7" w:rsidTr="00F95425">
        <w:trPr>
          <w:trHeight w:val="593"/>
        </w:trPr>
        <w:tc>
          <w:tcPr>
            <w:tcW w:w="1620" w:type="dxa"/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>Approved Total</w:t>
            </w:r>
          </w:p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>SRED Budget</w:t>
            </w:r>
          </w:p>
        </w:tc>
        <w:tc>
          <w:tcPr>
            <w:tcW w:w="1186" w:type="dxa"/>
            <w:shd w:val="clear" w:color="auto" w:fill="DBE5F1"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 xml:space="preserve">Expenditure </w:t>
            </w:r>
          </w:p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>2005-2010</w:t>
            </w:r>
          </w:p>
        </w:tc>
        <w:tc>
          <w:tcPr>
            <w:tcW w:w="1350" w:type="dxa"/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 xml:space="preserve">Expenditure </w:t>
            </w:r>
          </w:p>
          <w:p w:rsidR="008F660A" w:rsidRPr="00A570C7" w:rsidRDefault="008F660A" w:rsidP="00F9542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350" w:type="dxa"/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 xml:space="preserve">Expenditure </w:t>
            </w:r>
          </w:p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87" w:type="dxa"/>
            <w:shd w:val="clear" w:color="auto" w:fill="DBE5F1"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 xml:space="preserve">Expenditure </w:t>
            </w:r>
          </w:p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530" w:type="dxa"/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>Remained funding 2014</w:t>
            </w:r>
          </w:p>
        </w:tc>
        <w:tc>
          <w:tcPr>
            <w:tcW w:w="1245" w:type="dxa"/>
            <w:shd w:val="clear" w:color="auto" w:fill="DBE5F1"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 xml:space="preserve">Expected delivery 2014 </w:t>
            </w:r>
          </w:p>
        </w:tc>
      </w:tr>
      <w:tr w:rsidR="008F660A" w:rsidRPr="00A570C7" w:rsidTr="00F95425">
        <w:trPr>
          <w:trHeight w:val="300"/>
        </w:trPr>
        <w:tc>
          <w:tcPr>
            <w:tcW w:w="1620" w:type="dxa"/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  <w:t>(US$)</w:t>
            </w:r>
          </w:p>
        </w:tc>
        <w:tc>
          <w:tcPr>
            <w:tcW w:w="1186" w:type="dxa"/>
            <w:shd w:val="clear" w:color="auto" w:fill="DBE5F1"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  <w:t>(US$)</w:t>
            </w:r>
          </w:p>
        </w:tc>
        <w:tc>
          <w:tcPr>
            <w:tcW w:w="1350" w:type="dxa"/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  <w:t>(US$)</w:t>
            </w:r>
          </w:p>
        </w:tc>
        <w:tc>
          <w:tcPr>
            <w:tcW w:w="1350" w:type="dxa"/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  <w:t>(US$)</w:t>
            </w:r>
          </w:p>
        </w:tc>
        <w:tc>
          <w:tcPr>
            <w:tcW w:w="1187" w:type="dxa"/>
            <w:shd w:val="clear" w:color="auto" w:fill="DBE5F1"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  <w:t>(US$)</w:t>
            </w:r>
          </w:p>
        </w:tc>
        <w:tc>
          <w:tcPr>
            <w:tcW w:w="1530" w:type="dxa"/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  <w:t>(US$)</w:t>
            </w:r>
          </w:p>
        </w:tc>
        <w:tc>
          <w:tcPr>
            <w:tcW w:w="1245" w:type="dxa"/>
            <w:shd w:val="clear" w:color="auto" w:fill="DBE5F1"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ko-KR"/>
              </w:rPr>
              <w:t>(US$)</w:t>
            </w:r>
          </w:p>
        </w:tc>
      </w:tr>
      <w:tr w:rsidR="008F660A" w:rsidRPr="00A570C7" w:rsidTr="00F95425">
        <w:trPr>
          <w:trHeight w:val="300"/>
        </w:trPr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zh-CN"/>
              </w:rPr>
              <w:t>5,650,000.00</w:t>
            </w:r>
          </w:p>
        </w:tc>
        <w:tc>
          <w:tcPr>
            <w:tcW w:w="1186" w:type="dxa"/>
            <w:shd w:val="clear" w:color="auto" w:fill="FFFFFF"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b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zh-CN"/>
              </w:rPr>
              <w:t>768,294.15</w:t>
            </w:r>
          </w:p>
        </w:tc>
        <w:tc>
          <w:tcPr>
            <w:tcW w:w="13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zh-CN"/>
              </w:rPr>
              <w:t>836,825.95</w:t>
            </w:r>
          </w:p>
        </w:tc>
        <w:tc>
          <w:tcPr>
            <w:tcW w:w="13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Calibri" w:hAnsi="Times New Roman"/>
                <w:b/>
                <w:sz w:val="16"/>
                <w:szCs w:val="16"/>
                <w:lang w:eastAsia="zh-CN"/>
              </w:rPr>
              <w:t>1,544,772.83</w:t>
            </w:r>
          </w:p>
        </w:tc>
        <w:tc>
          <w:tcPr>
            <w:tcW w:w="1187" w:type="dxa"/>
            <w:shd w:val="clear" w:color="auto" w:fill="FFFFFF"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b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Malgun Gothic" w:hAnsi="Times New Roman"/>
                <w:b/>
                <w:sz w:val="16"/>
                <w:szCs w:val="16"/>
                <w:lang w:eastAsia="zh-CN"/>
              </w:rPr>
              <w:t>1,183,251.03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Calibri" w:hAnsi="Times New Roman"/>
                <w:b/>
                <w:sz w:val="16"/>
                <w:szCs w:val="16"/>
                <w:lang w:eastAsia="zh-CN"/>
              </w:rPr>
              <w:t>1,316,856.04</w:t>
            </w:r>
          </w:p>
        </w:tc>
        <w:tc>
          <w:tcPr>
            <w:tcW w:w="1245" w:type="dxa"/>
            <w:shd w:val="clear" w:color="auto" w:fill="FFFFFF"/>
          </w:tcPr>
          <w:p w:rsidR="008F660A" w:rsidRPr="00A570C7" w:rsidRDefault="0013218F" w:rsidP="00F9542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Calibri" w:hAnsi="Times New Roman"/>
                <w:b/>
                <w:sz w:val="16"/>
                <w:szCs w:val="16"/>
                <w:lang w:eastAsia="zh-CN"/>
              </w:rPr>
              <w:t>1,001</w:t>
            </w:r>
            <w:r w:rsidR="008F660A" w:rsidRPr="00A570C7">
              <w:rPr>
                <w:rFonts w:ascii="Times New Roman" w:eastAsia="Calibri" w:hAnsi="Times New Roman"/>
                <w:b/>
                <w:sz w:val="16"/>
                <w:szCs w:val="16"/>
                <w:lang w:eastAsia="zh-CN"/>
              </w:rPr>
              <w:t>,</w:t>
            </w:r>
            <w:r w:rsidRPr="00A570C7">
              <w:rPr>
                <w:rFonts w:ascii="Times New Roman" w:eastAsia="Calibri" w:hAnsi="Times New Roman"/>
                <w:b/>
                <w:sz w:val="16"/>
                <w:szCs w:val="16"/>
                <w:lang w:eastAsia="zh-CN"/>
              </w:rPr>
              <w:t>050</w:t>
            </w:r>
          </w:p>
        </w:tc>
      </w:tr>
      <w:tr w:rsidR="008F660A" w:rsidRPr="00A570C7" w:rsidTr="00F95425">
        <w:trPr>
          <w:trHeight w:val="300"/>
        </w:trPr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  <w:t>(100%)</w:t>
            </w:r>
          </w:p>
        </w:tc>
        <w:tc>
          <w:tcPr>
            <w:tcW w:w="1186" w:type="dxa"/>
            <w:shd w:val="clear" w:color="auto" w:fill="FFFFFF"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  <w:t>(13.6%)</w:t>
            </w:r>
          </w:p>
        </w:tc>
        <w:tc>
          <w:tcPr>
            <w:tcW w:w="13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  <w:t>(14.8%)</w:t>
            </w:r>
          </w:p>
        </w:tc>
        <w:tc>
          <w:tcPr>
            <w:tcW w:w="13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  <w:t>(27.3%)</w:t>
            </w:r>
          </w:p>
        </w:tc>
        <w:tc>
          <w:tcPr>
            <w:tcW w:w="1187" w:type="dxa"/>
            <w:shd w:val="clear" w:color="auto" w:fill="FFFFFF"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  <w:t>(20.9%)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0A" w:rsidRPr="00A570C7" w:rsidRDefault="008F660A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  <w:t>(23.3%)</w:t>
            </w:r>
          </w:p>
        </w:tc>
        <w:tc>
          <w:tcPr>
            <w:tcW w:w="1245" w:type="dxa"/>
            <w:shd w:val="clear" w:color="auto" w:fill="FFFFFF"/>
          </w:tcPr>
          <w:p w:rsidR="008F660A" w:rsidRPr="00A570C7" w:rsidRDefault="00F22083" w:rsidP="00F95425">
            <w:pPr>
              <w:jc w:val="center"/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</w:pPr>
            <w:r w:rsidRPr="00A570C7"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  <w:t>(17.7</w:t>
            </w:r>
            <w:r w:rsidR="008F660A" w:rsidRPr="00A570C7">
              <w:rPr>
                <w:rFonts w:ascii="Times New Roman" w:eastAsia="Malgun Gothic" w:hAnsi="Times New Roman"/>
                <w:sz w:val="16"/>
                <w:szCs w:val="16"/>
                <w:lang w:eastAsia="zh-CN"/>
              </w:rPr>
              <w:t>%)</w:t>
            </w:r>
          </w:p>
        </w:tc>
      </w:tr>
    </w:tbl>
    <w:p w:rsidR="008F660A" w:rsidRPr="00A570C7" w:rsidRDefault="008F660A" w:rsidP="008F660A">
      <w:pPr>
        <w:jc w:val="both"/>
        <w:rPr>
          <w:rFonts w:hint="eastAsia"/>
        </w:rPr>
      </w:pPr>
    </w:p>
    <w:p w:rsidR="008F660A" w:rsidRPr="00A570C7" w:rsidRDefault="008F660A" w:rsidP="008F660A">
      <w:pPr>
        <w:pStyle w:val="NoSpacing"/>
        <w:jc w:val="both"/>
        <w:rPr>
          <w:rFonts w:eastAsia="PMingLiU" w:cs="Calibri"/>
        </w:rPr>
      </w:pPr>
      <w:r w:rsidRPr="00A570C7">
        <w:rPr>
          <w:rFonts w:eastAsia="PMingLiU"/>
        </w:rPr>
        <w:t xml:space="preserve">The total cost of equipment was determined at 30% of the total project budget in amount of USD 1,510,678.95. SRED utilized USD 1,216,990.42. Expected delivery by end of project on 31 October of 2014 is </w:t>
      </w:r>
      <w:r w:rsidR="00F5694B" w:rsidRPr="00A570C7">
        <w:rPr>
          <w:rFonts w:eastAsia="PMingLiU"/>
        </w:rPr>
        <w:t>USD 1,001,050</w:t>
      </w:r>
      <w:r w:rsidRPr="00A570C7">
        <w:rPr>
          <w:rFonts w:eastAsia="PMingLiU"/>
        </w:rPr>
        <w:t xml:space="preserve">. </w:t>
      </w:r>
      <w:r w:rsidR="00F5694B" w:rsidRPr="00A570C7">
        <w:rPr>
          <w:rFonts w:eastAsia="PMingLiU"/>
        </w:rPr>
        <w:t>So far SRED delivered USD 449,350 and until end of October 2014 committed</w:t>
      </w:r>
      <w:r w:rsidR="00C445D3" w:rsidRPr="00A570C7">
        <w:rPr>
          <w:rFonts w:eastAsia="PMingLiU"/>
        </w:rPr>
        <w:t xml:space="preserve"> budget is USD 5</w:t>
      </w:r>
      <w:r w:rsidR="00F5694B" w:rsidRPr="00A570C7">
        <w:rPr>
          <w:rFonts w:eastAsia="PMingLiU"/>
        </w:rPr>
        <w:t xml:space="preserve">52,700. </w:t>
      </w:r>
    </w:p>
    <w:p w:rsidR="004F063C" w:rsidRPr="00A570C7" w:rsidRDefault="004F063C" w:rsidP="004F063C">
      <w:pPr>
        <w:rPr>
          <w:rFonts w:asciiTheme="minorHAnsi" w:hAnsiTheme="minorHAnsi" w:cstheme="minorHAnsi"/>
          <w:sz w:val="22"/>
          <w:szCs w:val="22"/>
          <w:lang w:eastAsia="zh-TW"/>
        </w:rPr>
      </w:pPr>
    </w:p>
    <w:p w:rsidR="004F063C" w:rsidRPr="00A570C7" w:rsidRDefault="004F063C" w:rsidP="004F063C">
      <w:p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A570C7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Pr="00A570C7">
        <w:rPr>
          <w:rFonts w:asciiTheme="minorHAnsi" w:hAnsiTheme="minorHAnsi" w:cstheme="minorHAnsi"/>
          <w:sz w:val="22"/>
          <w:szCs w:val="22"/>
          <w:lang w:eastAsia="zh-TW"/>
        </w:rPr>
        <w:tab/>
        <w:t xml:space="preserve">The TTPR meeting participants in details discussed the following </w:t>
      </w:r>
      <w:r w:rsidRPr="00A570C7">
        <w:rPr>
          <w:rFonts w:asciiTheme="minorHAnsi" w:hAnsiTheme="minorHAnsi" w:cstheme="minorHAnsi" w:hint="cs"/>
          <w:sz w:val="22"/>
          <w:szCs w:val="22"/>
          <w:lang w:eastAsia="zh-TW"/>
        </w:rPr>
        <w:t>constraints and lessons learned</w:t>
      </w:r>
      <w:r w:rsidRPr="00A570C7">
        <w:rPr>
          <w:rFonts w:asciiTheme="minorHAnsi" w:hAnsiTheme="minorHAnsi" w:cstheme="minorHAnsi"/>
          <w:sz w:val="22"/>
          <w:szCs w:val="22"/>
          <w:lang w:eastAsia="zh-TW"/>
        </w:rPr>
        <w:t>: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>Project design is not relevant to the current country context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;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>Lack of institutional memory and poor project files after resumption by 2011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;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lastRenderedPageBreak/>
        <w:t>Political tensions lead to stop, postpone and send back several international missions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;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>Problems with local payment lead to implementation delays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;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>Vendors do not respond to calls for bidding, equipment prices are extremely high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;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>Low response from transportation companies  and very high prices due to high risk, lack of information and experience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;</w:t>
      </w: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 xml:space="preserve"> 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>Lack of capacity of local institutions/experts to organize proper supervision, coordinate with end users and monitor of installation, conduct assessment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;</w:t>
      </w: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 xml:space="preserve"> 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>Absence of access to electricity during installation for welding, drilling, mixing and other tools’ work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;</w:t>
      </w: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 xml:space="preserve"> 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>Absence of direct communication with local experts and between local and international experts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;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>Lack of access to information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;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>Severe winter conditions prevent  installation of some equipment from December  - February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;</w:t>
      </w: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 xml:space="preserve"> 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>Unavailability of partners in CoFs for some periods during agricultural seasons added delays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;</w:t>
      </w: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 xml:space="preserve"> </w:t>
      </w:r>
    </w:p>
    <w:p w:rsidR="008F660A" w:rsidRPr="008F660A" w:rsidRDefault="008F660A" w:rsidP="008F660A">
      <w:pPr>
        <w:numPr>
          <w:ilvl w:val="0"/>
          <w:numId w:val="15"/>
        </w:numPr>
        <w:ind w:left="1152"/>
        <w:contextualSpacing/>
        <w:rPr>
          <w:rFonts w:asciiTheme="minorHAnsi" w:eastAsia="Times New Roman" w:hAnsiTheme="minorHAnsi"/>
          <w:sz w:val="22"/>
          <w:szCs w:val="22"/>
        </w:rPr>
      </w:pPr>
      <w:r w:rsidRPr="008F660A">
        <w:rPr>
          <w:rFonts w:asciiTheme="minorHAnsi" w:eastAsiaTheme="minorEastAsia" w:hAnsiTheme="minorHAnsi"/>
          <w:bCs/>
          <w:kern w:val="24"/>
          <w:sz w:val="22"/>
          <w:szCs w:val="22"/>
        </w:rPr>
        <w:t>Turnover of UNDP local staff</w:t>
      </w:r>
      <w:r w:rsidR="00791B10" w:rsidRPr="00A570C7">
        <w:rPr>
          <w:rFonts w:asciiTheme="minorHAnsi" w:eastAsiaTheme="minorEastAsia" w:hAnsiTheme="minorHAnsi"/>
          <w:bCs/>
          <w:kern w:val="24"/>
          <w:sz w:val="22"/>
          <w:szCs w:val="22"/>
        </w:rPr>
        <w:t>.</w:t>
      </w:r>
    </w:p>
    <w:p w:rsidR="004F063C" w:rsidRPr="00A570C7" w:rsidRDefault="004F063C" w:rsidP="004F063C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063C" w:rsidRPr="00A570C7" w:rsidRDefault="004F063C" w:rsidP="004F063C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Theme="minorHAnsi" w:hAnsiTheme="minorHAnsi" w:cstheme="minorHAnsi"/>
          <w:sz w:val="22"/>
          <w:szCs w:val="22"/>
          <w:lang w:eastAsia="zh-TW"/>
        </w:rPr>
      </w:pPr>
      <w:r w:rsidRPr="00A570C7">
        <w:rPr>
          <w:rFonts w:asciiTheme="minorHAnsi" w:hAnsiTheme="minorHAnsi" w:cstheme="minorHAnsi"/>
          <w:sz w:val="22"/>
          <w:szCs w:val="22"/>
          <w:lang w:eastAsia="zh-TW"/>
        </w:rPr>
        <w:t>R</w:t>
      </w:r>
      <w:r w:rsidRPr="00A570C7">
        <w:rPr>
          <w:rFonts w:asciiTheme="minorHAnsi" w:hAnsiTheme="minorHAnsi" w:cstheme="minorHAnsi" w:hint="eastAsia"/>
          <w:sz w:val="22"/>
          <w:szCs w:val="22"/>
          <w:lang w:eastAsia="zh-TW"/>
        </w:rPr>
        <w:t xml:space="preserve">ecommendations </w:t>
      </w:r>
      <w:r w:rsidRPr="00A570C7">
        <w:rPr>
          <w:rFonts w:asciiTheme="minorHAnsi" w:hAnsiTheme="minorHAnsi" w:cstheme="minorHAnsi"/>
          <w:sz w:val="22"/>
          <w:szCs w:val="22"/>
        </w:rPr>
        <w:t>of the TTPR meeting:</w:t>
      </w:r>
    </w:p>
    <w:p w:rsidR="004F063C" w:rsidRPr="00A570C7" w:rsidRDefault="004F063C" w:rsidP="004F063C">
      <w:pPr>
        <w:pStyle w:val="Header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0C7">
        <w:rPr>
          <w:rFonts w:asciiTheme="minorHAnsi" w:hAnsiTheme="minorHAnsi" w:cstheme="minorHAnsi"/>
          <w:sz w:val="22"/>
          <w:szCs w:val="22"/>
        </w:rPr>
        <w:t>S</w:t>
      </w:r>
      <w:r w:rsidR="008F660A" w:rsidRPr="00A570C7">
        <w:rPr>
          <w:rFonts w:asciiTheme="minorHAnsi" w:hAnsiTheme="minorHAnsi" w:cstheme="minorHAnsi"/>
          <w:sz w:val="22"/>
          <w:szCs w:val="22"/>
        </w:rPr>
        <w:t>RED performance from 2011-2014</w:t>
      </w:r>
      <w:r w:rsidRPr="00A570C7">
        <w:rPr>
          <w:rFonts w:asciiTheme="minorHAnsi" w:hAnsiTheme="minorHAnsi" w:cstheme="minorHAnsi"/>
          <w:sz w:val="22"/>
          <w:szCs w:val="22"/>
        </w:rPr>
        <w:t xml:space="preserve"> was assed as satisfa</w:t>
      </w:r>
      <w:r w:rsidR="008F660A" w:rsidRPr="00A570C7">
        <w:rPr>
          <w:rFonts w:asciiTheme="minorHAnsi" w:hAnsiTheme="minorHAnsi" w:cstheme="minorHAnsi"/>
          <w:sz w:val="22"/>
          <w:szCs w:val="22"/>
        </w:rPr>
        <w:t>ctory and the results of AWP 2014</w:t>
      </w:r>
      <w:r w:rsidRPr="00A570C7">
        <w:rPr>
          <w:rFonts w:asciiTheme="minorHAnsi" w:hAnsiTheme="minorHAnsi" w:cstheme="minorHAnsi"/>
          <w:sz w:val="22"/>
          <w:szCs w:val="22"/>
        </w:rPr>
        <w:t xml:space="preserve"> were endorsed and assessed as achieving its results. </w:t>
      </w:r>
    </w:p>
    <w:p w:rsidR="004F063C" w:rsidRPr="00A570C7" w:rsidRDefault="004F063C" w:rsidP="004F063C">
      <w:pPr>
        <w:pStyle w:val="Header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0C7">
        <w:rPr>
          <w:rFonts w:asciiTheme="minorHAnsi" w:hAnsiTheme="minorHAnsi" w:cstheme="minorHAnsi"/>
          <w:sz w:val="22"/>
          <w:szCs w:val="22"/>
        </w:rPr>
        <w:t xml:space="preserve">All participants agreed on the </w:t>
      </w:r>
      <w:r w:rsidR="008F660A" w:rsidRPr="00A570C7">
        <w:rPr>
          <w:rFonts w:asciiTheme="minorHAnsi" w:hAnsiTheme="minorHAnsi" w:cstheme="minorHAnsi"/>
          <w:sz w:val="22"/>
          <w:szCs w:val="22"/>
        </w:rPr>
        <w:t>SRED</w:t>
      </w:r>
      <w:r w:rsidRPr="00A570C7">
        <w:rPr>
          <w:rFonts w:asciiTheme="minorHAnsi" w:hAnsiTheme="minorHAnsi" w:cstheme="minorHAnsi"/>
          <w:sz w:val="22"/>
          <w:szCs w:val="22"/>
        </w:rPr>
        <w:t xml:space="preserve"> project operationally closure according to the UNDP rules and regulations by </w:t>
      </w:r>
      <w:r w:rsidR="008F660A" w:rsidRPr="00A570C7">
        <w:rPr>
          <w:rFonts w:asciiTheme="minorHAnsi" w:hAnsiTheme="minorHAnsi" w:cstheme="minorHAnsi"/>
          <w:sz w:val="22"/>
          <w:szCs w:val="22"/>
        </w:rPr>
        <w:t>October 2014</w:t>
      </w:r>
      <w:r w:rsidRPr="00A570C7">
        <w:rPr>
          <w:rFonts w:asciiTheme="minorHAnsi" w:hAnsiTheme="minorHAnsi" w:cstheme="minorHAnsi"/>
          <w:sz w:val="22"/>
          <w:szCs w:val="22"/>
        </w:rPr>
        <w:t>.</w:t>
      </w:r>
    </w:p>
    <w:p w:rsidR="004F063C" w:rsidRPr="00A570C7" w:rsidRDefault="00B81E4D" w:rsidP="00B81E4D">
      <w:pPr>
        <w:pStyle w:val="Header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0C7">
        <w:rPr>
          <w:rFonts w:asciiTheme="minorHAnsi" w:hAnsiTheme="minorHAnsi" w:cstheme="minorHAnsi"/>
          <w:sz w:val="22"/>
          <w:szCs w:val="22"/>
        </w:rPr>
        <w:t>Constraints and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 lessons learned </w:t>
      </w:r>
      <w:r w:rsidR="006438DA" w:rsidRPr="00A570C7">
        <w:rPr>
          <w:rFonts w:asciiTheme="minorHAnsi" w:hAnsiTheme="minorHAnsi" w:cstheme="minorHAnsi"/>
          <w:sz w:val="22"/>
          <w:szCs w:val="22"/>
        </w:rPr>
        <w:t>were discussed by the PSC members and it should be taken into account  for the next generation of projects for design and implementation in DPRK;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063C" w:rsidRPr="00A570C7" w:rsidRDefault="00B81E4D" w:rsidP="004F063C">
      <w:pPr>
        <w:pStyle w:val="Header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0C7">
        <w:rPr>
          <w:rFonts w:asciiTheme="minorHAnsi" w:hAnsiTheme="minorHAnsi" w:cstheme="minorHAnsi"/>
          <w:sz w:val="22"/>
          <w:szCs w:val="22"/>
        </w:rPr>
        <w:t>SRED and SWEDPRA a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ssets could not transferred to the Government by </w:t>
      </w:r>
      <w:r w:rsidR="008F660A" w:rsidRPr="00A570C7">
        <w:rPr>
          <w:rFonts w:asciiTheme="minorHAnsi" w:hAnsiTheme="minorHAnsi" w:cstheme="minorHAnsi"/>
          <w:sz w:val="22"/>
          <w:szCs w:val="22"/>
        </w:rPr>
        <w:t>SRED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 project</w:t>
      </w:r>
      <w:r w:rsidRPr="00A570C7">
        <w:rPr>
          <w:rFonts w:asciiTheme="minorHAnsi" w:hAnsiTheme="minorHAnsi" w:cstheme="minorHAnsi"/>
          <w:sz w:val="22"/>
          <w:szCs w:val="22"/>
        </w:rPr>
        <w:t xml:space="preserve">. </w:t>
      </w:r>
      <w:r w:rsidR="00356318" w:rsidRPr="00A570C7">
        <w:rPr>
          <w:rFonts w:asciiTheme="minorHAnsi" w:hAnsiTheme="minorHAnsi" w:cstheme="minorHAnsi"/>
          <w:sz w:val="22"/>
          <w:szCs w:val="22"/>
        </w:rPr>
        <w:t>Meantime t</w:t>
      </w:r>
      <w:r w:rsidR="00C23B6B" w:rsidRPr="00A570C7">
        <w:rPr>
          <w:rFonts w:asciiTheme="minorHAnsi" w:hAnsiTheme="minorHAnsi" w:cstheme="minorHAnsi"/>
          <w:sz w:val="22"/>
          <w:szCs w:val="22"/>
        </w:rPr>
        <w:t>he</w:t>
      </w:r>
      <w:r w:rsidRPr="00A570C7">
        <w:rPr>
          <w:rFonts w:asciiTheme="minorHAnsi" w:hAnsiTheme="minorHAnsi" w:cstheme="minorHAnsi"/>
          <w:sz w:val="22"/>
          <w:szCs w:val="22"/>
        </w:rPr>
        <w:t xml:space="preserve"> assets 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will be under custody of </w:t>
      </w:r>
      <w:r w:rsidR="008F660A" w:rsidRPr="00A570C7">
        <w:rPr>
          <w:rFonts w:asciiTheme="minorHAnsi" w:hAnsiTheme="minorHAnsi" w:cstheme="minorHAnsi"/>
          <w:sz w:val="22"/>
          <w:szCs w:val="22"/>
        </w:rPr>
        <w:t>UNDP CO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 </w:t>
      </w:r>
      <w:r w:rsidR="00356318" w:rsidRPr="00A570C7">
        <w:rPr>
          <w:rFonts w:asciiTheme="minorHAnsi" w:hAnsiTheme="minorHAnsi" w:cstheme="minorHAnsi"/>
          <w:sz w:val="22"/>
          <w:szCs w:val="22"/>
        </w:rPr>
        <w:t>until further guidance on the assets transfer from UNDP HQ</w:t>
      </w:r>
      <w:r w:rsidR="00FF2A86">
        <w:rPr>
          <w:rFonts w:asciiTheme="minorHAnsi" w:hAnsiTheme="minorHAnsi" w:cstheme="minorHAnsi"/>
          <w:sz w:val="22"/>
          <w:szCs w:val="22"/>
        </w:rPr>
        <w:t xml:space="preserve"> would be received</w:t>
      </w:r>
      <w:bookmarkStart w:id="0" w:name="_GoBack"/>
      <w:bookmarkEnd w:id="0"/>
      <w:r w:rsidR="00356318" w:rsidRPr="00A570C7">
        <w:rPr>
          <w:rFonts w:asciiTheme="minorHAnsi" w:hAnsiTheme="minorHAnsi" w:cstheme="minorHAnsi"/>
          <w:sz w:val="22"/>
          <w:szCs w:val="22"/>
        </w:rPr>
        <w:t>. The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 </w:t>
      </w:r>
      <w:r w:rsidRPr="00A570C7">
        <w:rPr>
          <w:rFonts w:asciiTheme="minorHAnsi" w:hAnsiTheme="minorHAnsi" w:cstheme="minorHAnsi"/>
          <w:sz w:val="22"/>
          <w:szCs w:val="22"/>
        </w:rPr>
        <w:t>assets monitoring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 </w:t>
      </w:r>
      <w:r w:rsidRPr="00A570C7">
        <w:rPr>
          <w:rFonts w:asciiTheme="minorHAnsi" w:hAnsiTheme="minorHAnsi" w:cstheme="minorHAnsi"/>
          <w:sz w:val="22"/>
          <w:szCs w:val="22"/>
        </w:rPr>
        <w:t>will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 continue by </w:t>
      </w:r>
      <w:r w:rsidR="00AC17B1" w:rsidRPr="00A570C7">
        <w:rPr>
          <w:rFonts w:asciiTheme="minorHAnsi" w:hAnsiTheme="minorHAnsi" w:cstheme="minorHAnsi"/>
          <w:sz w:val="22"/>
          <w:szCs w:val="22"/>
        </w:rPr>
        <w:t xml:space="preserve">UNDP M&amp;E Specialist using </w:t>
      </w:r>
      <w:r w:rsidR="004F063C" w:rsidRPr="00A570C7">
        <w:rPr>
          <w:rFonts w:asciiTheme="minorHAnsi" w:hAnsiTheme="minorHAnsi" w:cstheme="minorHAnsi"/>
          <w:sz w:val="22"/>
          <w:szCs w:val="22"/>
        </w:rPr>
        <w:t>SRED management budget</w:t>
      </w:r>
      <w:r w:rsidR="00AC17B1" w:rsidRPr="00A570C7">
        <w:rPr>
          <w:rFonts w:asciiTheme="minorHAnsi" w:hAnsiTheme="minorHAnsi" w:cstheme="minorHAnsi"/>
          <w:sz w:val="22"/>
          <w:szCs w:val="22"/>
        </w:rPr>
        <w:t xml:space="preserve"> as SRED will not be financially closed during one year after project operationally </w:t>
      </w:r>
      <w:r w:rsidR="005A0C50">
        <w:rPr>
          <w:rFonts w:asciiTheme="minorHAnsi" w:hAnsiTheme="minorHAnsi" w:cstheme="minorHAnsi"/>
          <w:sz w:val="22"/>
          <w:szCs w:val="22"/>
        </w:rPr>
        <w:t>closer on 31 October 2014;</w:t>
      </w:r>
    </w:p>
    <w:p w:rsidR="004F063C" w:rsidRPr="00A570C7" w:rsidRDefault="004F063C" w:rsidP="004F063C">
      <w:pPr>
        <w:pStyle w:val="Header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0C7">
        <w:rPr>
          <w:rFonts w:asciiTheme="minorHAnsi" w:hAnsiTheme="minorHAnsi" w:cstheme="minorHAnsi"/>
          <w:sz w:val="22"/>
          <w:szCs w:val="22"/>
        </w:rPr>
        <w:t xml:space="preserve">Access to the </w:t>
      </w:r>
      <w:r w:rsidR="00AC17B1" w:rsidRPr="00A570C7">
        <w:rPr>
          <w:rFonts w:asciiTheme="minorHAnsi" w:hAnsiTheme="minorHAnsi" w:cstheme="minorHAnsi"/>
          <w:sz w:val="22"/>
          <w:szCs w:val="22"/>
        </w:rPr>
        <w:t>SRED</w:t>
      </w:r>
      <w:r w:rsidRPr="00A570C7">
        <w:rPr>
          <w:rFonts w:asciiTheme="minorHAnsi" w:hAnsiTheme="minorHAnsi" w:cstheme="minorHAnsi"/>
          <w:sz w:val="22"/>
          <w:szCs w:val="22"/>
        </w:rPr>
        <w:t xml:space="preserve"> project sites will be guaranteed by Government partners</w:t>
      </w:r>
      <w:r w:rsidR="005A0C50">
        <w:rPr>
          <w:rFonts w:asciiTheme="minorHAnsi" w:hAnsiTheme="minorHAnsi" w:cstheme="minorHAnsi"/>
          <w:sz w:val="22"/>
          <w:szCs w:val="22"/>
        </w:rPr>
        <w:t>;</w:t>
      </w:r>
    </w:p>
    <w:p w:rsidR="004F063C" w:rsidRPr="00A570C7" w:rsidRDefault="00AC17B1" w:rsidP="00AC17B1">
      <w:pPr>
        <w:pStyle w:val="Header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0C7">
        <w:rPr>
          <w:rFonts w:asciiTheme="minorHAnsi" w:hAnsiTheme="minorHAnsi" w:cstheme="minorHAnsi"/>
          <w:sz w:val="22"/>
          <w:szCs w:val="22"/>
        </w:rPr>
        <w:t>The following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 outstanding activities: </w:t>
      </w:r>
      <w:r w:rsidR="00892623">
        <w:rPr>
          <w:rFonts w:asciiTheme="minorHAnsi" w:hAnsiTheme="minorHAnsi" w:cstheme="minorHAnsi"/>
          <w:sz w:val="22"/>
          <w:szCs w:val="22"/>
        </w:rPr>
        <w:t>(i)</w:t>
      </w:r>
      <w:r w:rsidR="004F063C" w:rsidRPr="00A570C7">
        <w:rPr>
          <w:rFonts w:asciiTheme="minorHAnsi" w:hAnsiTheme="minorHAnsi" w:cstheme="minorHAnsi"/>
          <w:sz w:val="22"/>
          <w:szCs w:val="22"/>
        </w:rPr>
        <w:t>“</w:t>
      </w:r>
      <w:r w:rsidRPr="00A570C7">
        <w:rPr>
          <w:rFonts w:asciiTheme="minorHAnsi" w:hAnsiTheme="minorHAnsi" w:cstheme="minorHAnsi"/>
          <w:sz w:val="22"/>
          <w:szCs w:val="22"/>
        </w:rPr>
        <w:t>Solar Photovoltaic and Solar Hot Water System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” will be done </w:t>
      </w:r>
      <w:r w:rsidRPr="00A570C7">
        <w:rPr>
          <w:rFonts w:asciiTheme="minorHAnsi" w:hAnsiTheme="minorHAnsi" w:cstheme="minorHAnsi"/>
          <w:sz w:val="22"/>
          <w:szCs w:val="22"/>
        </w:rPr>
        <w:t>from 24-31 October</w:t>
      </w:r>
      <w:r w:rsidR="00140294" w:rsidRPr="00A570C7">
        <w:rPr>
          <w:rFonts w:asciiTheme="minorHAnsi" w:hAnsiTheme="minorHAnsi" w:cstheme="minorHAnsi"/>
          <w:sz w:val="22"/>
          <w:szCs w:val="22"/>
        </w:rPr>
        <w:t xml:space="preserve"> (according to PO if equipment </w:t>
      </w:r>
      <w:r w:rsidR="00C76EBF" w:rsidRPr="00A570C7">
        <w:rPr>
          <w:rFonts w:asciiTheme="minorHAnsi" w:hAnsiTheme="minorHAnsi" w:cstheme="minorHAnsi"/>
          <w:sz w:val="22"/>
          <w:szCs w:val="22"/>
        </w:rPr>
        <w:t>is</w:t>
      </w:r>
      <w:r w:rsidR="00356318" w:rsidRPr="00A570C7">
        <w:rPr>
          <w:rFonts w:asciiTheme="minorHAnsi" w:hAnsiTheme="minorHAnsi" w:cstheme="minorHAnsi"/>
          <w:sz w:val="22"/>
          <w:szCs w:val="22"/>
        </w:rPr>
        <w:t xml:space="preserve"> </w:t>
      </w:r>
      <w:r w:rsidR="00140294" w:rsidRPr="00A570C7">
        <w:rPr>
          <w:rFonts w:asciiTheme="minorHAnsi" w:hAnsiTheme="minorHAnsi" w:cstheme="minorHAnsi"/>
          <w:sz w:val="22"/>
          <w:szCs w:val="22"/>
        </w:rPr>
        <w:t xml:space="preserve">not be provided by 26 October UNDP will terminate contract with </w:t>
      </w:r>
      <w:r w:rsidR="00C76EBF" w:rsidRPr="00A570C7">
        <w:rPr>
          <w:rFonts w:asciiTheme="minorHAnsi" w:hAnsiTheme="minorHAnsi" w:cstheme="minorHAnsi"/>
          <w:sz w:val="22"/>
          <w:szCs w:val="22"/>
        </w:rPr>
        <w:t>vendor</w:t>
      </w:r>
      <w:r w:rsidR="00140294" w:rsidRPr="00A570C7">
        <w:rPr>
          <w:rFonts w:asciiTheme="minorHAnsi" w:hAnsiTheme="minorHAnsi" w:cstheme="minorHAnsi"/>
          <w:sz w:val="22"/>
          <w:szCs w:val="22"/>
        </w:rPr>
        <w:t>)</w:t>
      </w:r>
      <w:r w:rsidRPr="00A570C7">
        <w:rPr>
          <w:rFonts w:asciiTheme="minorHAnsi" w:hAnsiTheme="minorHAnsi" w:cstheme="minorHAnsi"/>
          <w:sz w:val="22"/>
          <w:szCs w:val="22"/>
        </w:rPr>
        <w:t xml:space="preserve">; </w:t>
      </w:r>
      <w:r w:rsidR="00892623">
        <w:rPr>
          <w:rFonts w:asciiTheme="minorHAnsi" w:hAnsiTheme="minorHAnsi" w:cstheme="minorHAnsi"/>
          <w:sz w:val="22"/>
          <w:szCs w:val="22"/>
        </w:rPr>
        <w:t>(ii)</w:t>
      </w:r>
      <w:r w:rsidR="004F063C" w:rsidRPr="00A570C7">
        <w:rPr>
          <w:rFonts w:asciiTheme="minorHAnsi" w:hAnsiTheme="minorHAnsi" w:cstheme="minorHAnsi"/>
          <w:sz w:val="22"/>
          <w:szCs w:val="22"/>
        </w:rPr>
        <w:t>“</w:t>
      </w:r>
      <w:r w:rsidRPr="00A570C7">
        <w:rPr>
          <w:rFonts w:asciiTheme="minorHAnsi" w:hAnsiTheme="minorHAnsi" w:cstheme="minorHAnsi"/>
          <w:sz w:val="22"/>
          <w:szCs w:val="22"/>
        </w:rPr>
        <w:t>Printing publications for awareness - building campaigns</w:t>
      </w:r>
      <w:r w:rsidR="004F063C" w:rsidRPr="00A570C7">
        <w:rPr>
          <w:rFonts w:asciiTheme="minorHAnsi" w:hAnsiTheme="minorHAnsi" w:cstheme="minorHAnsi"/>
          <w:sz w:val="22"/>
          <w:szCs w:val="22"/>
        </w:rPr>
        <w:t>”</w:t>
      </w:r>
      <w:r w:rsidRPr="00A570C7">
        <w:rPr>
          <w:rFonts w:asciiTheme="minorHAnsi" w:hAnsiTheme="minorHAnsi" w:cstheme="minorHAnsi"/>
          <w:sz w:val="22"/>
          <w:szCs w:val="22"/>
        </w:rPr>
        <w:t xml:space="preserve"> will be done by 28 October, </w:t>
      </w:r>
      <w:r w:rsidR="00892623">
        <w:rPr>
          <w:rFonts w:asciiTheme="minorHAnsi" w:hAnsiTheme="minorHAnsi" w:cstheme="minorHAnsi"/>
          <w:sz w:val="22"/>
          <w:szCs w:val="22"/>
        </w:rPr>
        <w:t>(iii)</w:t>
      </w:r>
      <w:r w:rsidRPr="00A570C7">
        <w:rPr>
          <w:rFonts w:asciiTheme="minorHAnsi" w:hAnsiTheme="minorHAnsi" w:cstheme="minorHAnsi"/>
          <w:sz w:val="22"/>
          <w:szCs w:val="22"/>
        </w:rPr>
        <w:t>“Local Technical Supervision on Household Biogas System”  and</w:t>
      </w:r>
      <w:r w:rsidR="000E16FB" w:rsidRPr="00A570C7">
        <w:rPr>
          <w:rFonts w:asciiTheme="minorHAnsi" w:hAnsiTheme="minorHAnsi" w:cstheme="minorHAnsi"/>
          <w:sz w:val="22"/>
          <w:szCs w:val="22"/>
        </w:rPr>
        <w:t xml:space="preserve"> (iv)</w:t>
      </w:r>
      <w:r w:rsidRPr="00A570C7">
        <w:rPr>
          <w:rFonts w:asciiTheme="minorHAnsi" w:hAnsiTheme="minorHAnsi" w:cstheme="minorHAnsi"/>
          <w:sz w:val="22"/>
          <w:szCs w:val="22"/>
        </w:rPr>
        <w:t xml:space="preserve"> “Local Technical Supervision on Solar PV and Solar Hot Water System” </w:t>
      </w:r>
      <w:r w:rsidR="004F063C" w:rsidRPr="00A570C7">
        <w:rPr>
          <w:rFonts w:asciiTheme="minorHAnsi" w:hAnsiTheme="minorHAnsi" w:cstheme="minorHAnsi"/>
          <w:sz w:val="22"/>
          <w:szCs w:val="22"/>
        </w:rPr>
        <w:t xml:space="preserve">will be completed on </w:t>
      </w:r>
      <w:r w:rsidRPr="00A570C7">
        <w:rPr>
          <w:rFonts w:asciiTheme="minorHAnsi" w:hAnsiTheme="minorHAnsi" w:cstheme="minorHAnsi"/>
          <w:sz w:val="22"/>
          <w:szCs w:val="22"/>
        </w:rPr>
        <w:t>31 October 2014</w:t>
      </w:r>
      <w:r w:rsidR="004F063C" w:rsidRPr="00A570C7">
        <w:rPr>
          <w:rFonts w:asciiTheme="minorHAnsi" w:hAnsiTheme="minorHAnsi" w:cstheme="minorHAnsi"/>
          <w:sz w:val="22"/>
          <w:szCs w:val="22"/>
        </w:rPr>
        <w:t>.</w:t>
      </w:r>
      <w:r w:rsidRPr="00A570C7">
        <w:rPr>
          <w:rFonts w:asciiTheme="minorHAnsi" w:hAnsiTheme="minorHAnsi" w:cstheme="minorHAnsi"/>
          <w:sz w:val="22"/>
          <w:szCs w:val="22"/>
        </w:rPr>
        <w:t xml:space="preserve"> </w:t>
      </w:r>
      <w:r w:rsidR="00892623">
        <w:rPr>
          <w:rFonts w:asciiTheme="minorHAnsi" w:hAnsiTheme="minorHAnsi" w:cstheme="minorHAnsi"/>
          <w:sz w:val="22"/>
          <w:szCs w:val="22"/>
        </w:rPr>
        <w:t>(v)</w:t>
      </w:r>
      <w:r w:rsidRPr="00A570C7">
        <w:rPr>
          <w:rFonts w:asciiTheme="minorHAnsi" w:hAnsiTheme="minorHAnsi" w:cstheme="minorHAnsi"/>
          <w:sz w:val="22"/>
          <w:szCs w:val="22"/>
        </w:rPr>
        <w:t xml:space="preserve">Contract with IDS experts for “Local experts on rural energy surveys, energy assessment for rural area identification of additional provinces/counties and research on legal/institutional framework for new rural energy intervention development” will be terminated </w:t>
      </w:r>
      <w:r w:rsidR="008856FA" w:rsidRPr="00A570C7">
        <w:rPr>
          <w:rFonts w:asciiTheme="minorHAnsi" w:hAnsiTheme="minorHAnsi" w:cstheme="minorHAnsi"/>
          <w:sz w:val="22"/>
          <w:szCs w:val="22"/>
        </w:rPr>
        <w:t xml:space="preserve">before </w:t>
      </w:r>
      <w:r w:rsidR="005A0C50">
        <w:rPr>
          <w:rFonts w:asciiTheme="minorHAnsi" w:hAnsiTheme="minorHAnsi" w:cstheme="minorHAnsi"/>
          <w:sz w:val="22"/>
          <w:szCs w:val="22"/>
        </w:rPr>
        <w:t>end of October;</w:t>
      </w:r>
    </w:p>
    <w:p w:rsidR="00E17819" w:rsidRPr="00A570C7" w:rsidRDefault="00E17819" w:rsidP="00AC17B1">
      <w:pPr>
        <w:pStyle w:val="Header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0C7">
        <w:rPr>
          <w:rFonts w:asciiTheme="minorHAnsi" w:hAnsiTheme="minorHAnsi" w:cstheme="minorHAnsi"/>
          <w:sz w:val="22"/>
          <w:szCs w:val="22"/>
        </w:rPr>
        <w:t xml:space="preserve">Project document for </w:t>
      </w:r>
      <w:r w:rsidR="00173094" w:rsidRPr="00A570C7">
        <w:rPr>
          <w:rFonts w:asciiTheme="minorHAnsi" w:hAnsiTheme="minorHAnsi" w:cstheme="minorHAnsi"/>
          <w:sz w:val="22"/>
          <w:szCs w:val="22"/>
        </w:rPr>
        <w:t>New P</w:t>
      </w:r>
      <w:r w:rsidRPr="00A570C7">
        <w:rPr>
          <w:rFonts w:asciiTheme="minorHAnsi" w:hAnsiTheme="minorHAnsi" w:cstheme="minorHAnsi"/>
          <w:sz w:val="22"/>
          <w:szCs w:val="22"/>
        </w:rPr>
        <w:t>roject UNDP intervention in Rural Energy Development will be shared by UNDP with national partners</w:t>
      </w:r>
      <w:r w:rsidR="005A0C50">
        <w:rPr>
          <w:rFonts w:asciiTheme="minorHAnsi" w:hAnsiTheme="minorHAnsi" w:cstheme="minorHAnsi"/>
          <w:sz w:val="22"/>
          <w:szCs w:val="22"/>
        </w:rPr>
        <w:t>;</w:t>
      </w:r>
    </w:p>
    <w:p w:rsidR="00173094" w:rsidRPr="00A570C7" w:rsidRDefault="00173094" w:rsidP="00AC17B1">
      <w:pPr>
        <w:pStyle w:val="Header"/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0C7">
        <w:rPr>
          <w:rFonts w:asciiTheme="minorHAnsi" w:hAnsiTheme="minorHAnsi" w:cstheme="minorHAnsi"/>
          <w:sz w:val="22"/>
          <w:szCs w:val="22"/>
        </w:rPr>
        <w:t xml:space="preserve">It is important to cost in-kind local </w:t>
      </w:r>
      <w:r w:rsidR="00AB0DD4" w:rsidRPr="00A570C7">
        <w:rPr>
          <w:rFonts w:asciiTheme="minorHAnsi" w:hAnsiTheme="minorHAnsi" w:cstheme="minorHAnsi"/>
          <w:sz w:val="22"/>
          <w:szCs w:val="22"/>
        </w:rPr>
        <w:t>and Government</w:t>
      </w:r>
      <w:r w:rsidRPr="00A570C7">
        <w:rPr>
          <w:rFonts w:asciiTheme="minorHAnsi" w:hAnsiTheme="minorHAnsi" w:cstheme="minorHAnsi"/>
          <w:sz w:val="22"/>
          <w:szCs w:val="22"/>
        </w:rPr>
        <w:t xml:space="preserve"> contribution in budgets of new projects.</w:t>
      </w:r>
    </w:p>
    <w:p w:rsidR="004F063C" w:rsidRPr="000C384C" w:rsidRDefault="004F063C" w:rsidP="004F063C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063C" w:rsidRDefault="004F063C" w:rsidP="008F660A">
      <w:pPr>
        <w:rPr>
          <w:rFonts w:asciiTheme="minorHAnsi" w:hAnsiTheme="minorHAnsi" w:cstheme="minorHAnsi"/>
          <w:sz w:val="22"/>
          <w:szCs w:val="22"/>
        </w:rPr>
      </w:pPr>
    </w:p>
    <w:p w:rsidR="00CC678F" w:rsidRDefault="00CC678F">
      <w:pPr>
        <w:rPr>
          <w:rFonts w:asciiTheme="minorHAnsi" w:hAnsiTheme="minorHAnsi" w:cstheme="minorHAnsi"/>
          <w:sz w:val="22"/>
          <w:szCs w:val="22"/>
        </w:rPr>
      </w:pPr>
    </w:p>
    <w:p w:rsidR="00CC678F" w:rsidRDefault="00CC678F">
      <w:pPr>
        <w:rPr>
          <w:rFonts w:asciiTheme="minorHAnsi" w:hAnsiTheme="minorHAnsi" w:cstheme="minorHAnsi"/>
          <w:sz w:val="22"/>
          <w:szCs w:val="22"/>
        </w:rPr>
      </w:pPr>
    </w:p>
    <w:p w:rsidR="00CC678F" w:rsidRDefault="00CC678F">
      <w:pPr>
        <w:rPr>
          <w:rFonts w:asciiTheme="minorHAnsi" w:hAnsiTheme="minorHAnsi" w:cstheme="minorHAnsi"/>
          <w:sz w:val="22"/>
          <w:szCs w:val="22"/>
        </w:rPr>
      </w:pPr>
      <w:r w:rsidRPr="00CC678F">
        <w:rPr>
          <w:rFonts w:asciiTheme="minorHAnsi" w:hAnsiTheme="minorHAnsi" w:cstheme="minorHAnsi"/>
          <w:sz w:val="22"/>
          <w:szCs w:val="22"/>
        </w:rPr>
        <w:t>ANNEXES: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F22B6" w:rsidRPr="00CC678F" w:rsidRDefault="001F22B6" w:rsidP="00F6445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E8149B" w:rsidRPr="00CC678F" w:rsidRDefault="0046593C" w:rsidP="00CC678F">
      <w:pPr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C678F">
        <w:rPr>
          <w:rFonts w:asciiTheme="minorHAnsi" w:hAnsiTheme="minorHAnsi" w:cstheme="minorHAnsi"/>
          <w:b/>
          <w:sz w:val="22"/>
          <w:szCs w:val="22"/>
          <w:u w:val="single"/>
        </w:rPr>
        <w:t>ANNEX 1</w:t>
      </w:r>
      <w:r w:rsidR="00CC678F" w:rsidRPr="00CC678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CC678F" w:rsidRPr="00CC678F" w:rsidRDefault="00CC678F" w:rsidP="00CC678F">
      <w:pPr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C678F" w:rsidRPr="00CC678F" w:rsidRDefault="00CC678F" w:rsidP="00CC678F">
      <w:pPr>
        <w:jc w:val="center"/>
        <w:rPr>
          <w:rFonts w:asciiTheme="minorHAnsi" w:eastAsia="Malgun Gothic" w:hAnsiTheme="minorHAnsi" w:cs="Arial"/>
          <w:b/>
          <w:sz w:val="22"/>
          <w:szCs w:val="22"/>
          <w:lang w:eastAsia="zh-TW"/>
        </w:rPr>
      </w:pPr>
      <w:r w:rsidRPr="00CC678F">
        <w:rPr>
          <w:rFonts w:asciiTheme="minorHAnsi" w:eastAsia="Malgun Gothic" w:hAnsiTheme="minorHAnsi" w:cs="Arial"/>
          <w:b/>
          <w:sz w:val="22"/>
          <w:szCs w:val="22"/>
          <w:lang w:eastAsia="zh-TW"/>
        </w:rPr>
        <w:t>Agenda of Terminal Tripartite Project Review Meeting of Sustainable Rural Energy Development (SRED) Programme</w:t>
      </w:r>
    </w:p>
    <w:p w:rsidR="00CC678F" w:rsidRPr="00CC678F" w:rsidRDefault="00CC678F" w:rsidP="00CC678F">
      <w:pPr>
        <w:spacing w:before="120"/>
        <w:jc w:val="center"/>
        <w:rPr>
          <w:rFonts w:asciiTheme="minorHAnsi" w:eastAsia="Malgun Gothic" w:hAnsiTheme="minorHAnsi" w:cs="Arial"/>
          <w:sz w:val="22"/>
          <w:szCs w:val="22"/>
          <w:lang w:eastAsia="zh-TW"/>
        </w:rPr>
      </w:pPr>
      <w:r w:rsidRPr="00CC678F">
        <w:rPr>
          <w:rFonts w:asciiTheme="minorHAnsi" w:eastAsia="Malgun Gothic" w:hAnsiTheme="minorHAnsi" w:cs="Arial"/>
          <w:sz w:val="22"/>
          <w:szCs w:val="22"/>
          <w:lang w:eastAsia="zh-TW"/>
        </w:rPr>
        <w:t>21 October 2014, Tuesday 10:00 – 12:00</w:t>
      </w:r>
    </w:p>
    <w:p w:rsidR="00CC678F" w:rsidRPr="00CC678F" w:rsidRDefault="00CC678F" w:rsidP="00CC678F">
      <w:pPr>
        <w:spacing w:before="120"/>
        <w:jc w:val="center"/>
        <w:rPr>
          <w:rFonts w:asciiTheme="minorHAnsi" w:eastAsiaTheme="minorEastAsia" w:hAnsiTheme="minorHAnsi" w:cs="Arial"/>
          <w:sz w:val="22"/>
          <w:szCs w:val="22"/>
          <w:lang w:eastAsia="zh-TW"/>
        </w:rPr>
      </w:pPr>
      <w:r w:rsidRPr="00CC678F">
        <w:rPr>
          <w:rFonts w:asciiTheme="minorHAnsi" w:eastAsia="Malgun Gothic" w:hAnsiTheme="minorHAnsi" w:cs="Arial"/>
          <w:sz w:val="22"/>
          <w:szCs w:val="22"/>
          <w:lang w:eastAsia="zh-TW"/>
        </w:rPr>
        <w:t>Venue - UNDP</w:t>
      </w:r>
      <w:r w:rsidRPr="00CC678F">
        <w:rPr>
          <w:rFonts w:asciiTheme="minorHAnsi" w:eastAsiaTheme="minorEastAsia" w:hAnsiTheme="minorHAnsi" w:cs="Arial"/>
          <w:sz w:val="22"/>
          <w:szCs w:val="22"/>
          <w:lang w:eastAsia="zh-TW"/>
        </w:rPr>
        <w:t xml:space="preserve"> CO Conference Room</w:t>
      </w: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  <w:r w:rsidRPr="00CC678F">
        <w:rPr>
          <w:rFonts w:asciiTheme="minorHAnsi" w:eastAsiaTheme="minorEastAsia" w:hAnsiTheme="minorHAnsi" w:cs="Arial"/>
          <w:b/>
          <w:sz w:val="22"/>
          <w:szCs w:val="22"/>
          <w:lang w:eastAsia="zh-TW"/>
        </w:rPr>
        <w:t>Co-chairperson</w:t>
      </w:r>
      <w:r w:rsidRPr="00CC678F">
        <w:rPr>
          <w:rFonts w:asciiTheme="minorHAnsi" w:eastAsiaTheme="minorEastAsia" w:hAnsiTheme="minorHAnsi" w:cs="Arial"/>
          <w:sz w:val="22"/>
          <w:szCs w:val="22"/>
          <w:lang w:eastAsia="zh-TW"/>
        </w:rPr>
        <w:t>: Ms. Shabnam Mallick, Deputy Resident Representative, UNDP DPRK</w:t>
      </w:r>
    </w:p>
    <w:p w:rsidR="00CC678F" w:rsidRPr="00CC678F" w:rsidRDefault="00CC678F" w:rsidP="00CC678F">
      <w:pPr>
        <w:spacing w:before="120"/>
        <w:rPr>
          <w:rFonts w:asciiTheme="minorHAnsi" w:eastAsiaTheme="minorEastAsia" w:hAnsiTheme="minorHAnsi" w:cs="Arial"/>
          <w:sz w:val="22"/>
          <w:szCs w:val="22"/>
          <w:lang w:eastAsia="zh-TW"/>
        </w:rPr>
      </w:pPr>
      <w:r w:rsidRPr="00CC678F">
        <w:rPr>
          <w:rFonts w:asciiTheme="minorHAnsi" w:eastAsiaTheme="minorEastAsia" w:hAnsiTheme="minorHAnsi" w:cs="Arial"/>
          <w:b/>
          <w:sz w:val="22"/>
          <w:szCs w:val="22"/>
          <w:lang w:eastAsia="zh-TW"/>
        </w:rPr>
        <w:t>Co-chairperson</w:t>
      </w:r>
      <w:r w:rsidRPr="00CC678F">
        <w:rPr>
          <w:rFonts w:asciiTheme="minorHAnsi" w:eastAsiaTheme="minorEastAsia" w:hAnsiTheme="minorHAnsi" w:cs="Arial"/>
          <w:sz w:val="22"/>
          <w:szCs w:val="22"/>
          <w:lang w:eastAsia="zh-TW"/>
        </w:rPr>
        <w:t>: Mr. Pak Kyong Chol, Coordinator of National Coordinating Committee for UNDP</w:t>
      </w: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  <w:r w:rsidRPr="00CC678F">
        <w:rPr>
          <w:rFonts w:asciiTheme="minorHAnsi" w:eastAsiaTheme="minorEastAsia" w:hAnsiTheme="minorHAnsi" w:cs="Arial"/>
          <w:b/>
          <w:sz w:val="22"/>
          <w:szCs w:val="22"/>
          <w:lang w:eastAsia="zh-TW"/>
        </w:rPr>
        <w:t>10:00-10:10 – Opening Remarks</w:t>
      </w:r>
      <w:r w:rsidRPr="00CC678F">
        <w:rPr>
          <w:rFonts w:asciiTheme="minorHAnsi" w:eastAsiaTheme="minorEastAsia" w:hAnsiTheme="minorHAnsi" w:cs="Arial"/>
          <w:sz w:val="22"/>
          <w:szCs w:val="22"/>
          <w:lang w:eastAsia="zh-TW"/>
        </w:rPr>
        <w:t>:</w:t>
      </w:r>
    </w:p>
    <w:p w:rsidR="00CC678F" w:rsidRPr="00CC678F" w:rsidRDefault="00CC678F" w:rsidP="00CC678F">
      <w:pPr>
        <w:spacing w:before="120"/>
        <w:ind w:firstLine="993"/>
        <w:rPr>
          <w:rFonts w:asciiTheme="minorHAnsi" w:eastAsiaTheme="minorEastAsia" w:hAnsiTheme="minorHAnsi" w:cs="Arial"/>
          <w:sz w:val="22"/>
          <w:szCs w:val="22"/>
          <w:lang w:eastAsia="zh-TW"/>
        </w:rPr>
      </w:pPr>
      <w:r w:rsidRPr="00CC678F">
        <w:rPr>
          <w:rFonts w:asciiTheme="minorHAnsi" w:eastAsiaTheme="minorEastAsia" w:hAnsiTheme="minorHAnsi" w:cs="Arial"/>
          <w:sz w:val="22"/>
          <w:szCs w:val="22"/>
          <w:lang w:eastAsia="zh-TW"/>
        </w:rPr>
        <w:t>Ms. Shabnam Mallick, Deputy Resident Representative, UNDP DPRK</w:t>
      </w:r>
    </w:p>
    <w:p w:rsidR="00CC678F" w:rsidRPr="00CC678F" w:rsidRDefault="00CC678F" w:rsidP="00CC678F">
      <w:pPr>
        <w:spacing w:before="120"/>
        <w:ind w:firstLine="993"/>
        <w:rPr>
          <w:rFonts w:asciiTheme="minorHAnsi" w:eastAsiaTheme="minorEastAsia" w:hAnsiTheme="minorHAnsi" w:cs="Arial"/>
          <w:sz w:val="22"/>
          <w:szCs w:val="22"/>
          <w:lang w:eastAsia="zh-TW"/>
        </w:rPr>
      </w:pPr>
      <w:r w:rsidRPr="00CC678F">
        <w:rPr>
          <w:rFonts w:asciiTheme="minorHAnsi" w:eastAsiaTheme="minorEastAsia" w:hAnsiTheme="minorHAnsi" w:cs="Arial"/>
          <w:sz w:val="22"/>
          <w:szCs w:val="22"/>
          <w:lang w:eastAsia="zh-TW"/>
        </w:rPr>
        <w:t>Mr. Pak Kyong Chol, Coordinator of National Coordinating Committee for UNDP</w:t>
      </w: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  <w:r w:rsidRPr="00CC678F">
        <w:rPr>
          <w:rFonts w:asciiTheme="minorHAnsi" w:eastAsiaTheme="minorEastAsia" w:hAnsiTheme="minorHAnsi" w:cs="Arial"/>
          <w:b/>
          <w:sz w:val="22"/>
          <w:szCs w:val="22"/>
          <w:lang w:eastAsia="zh-TW"/>
        </w:rPr>
        <w:t>10:10-10:40 – Presentation</w:t>
      </w:r>
      <w:r w:rsidRPr="00CC678F">
        <w:rPr>
          <w:rFonts w:asciiTheme="minorHAnsi" w:eastAsiaTheme="minorEastAsia" w:hAnsiTheme="minorHAnsi" w:cs="Arial"/>
          <w:sz w:val="22"/>
          <w:szCs w:val="22"/>
          <w:lang w:eastAsia="zh-TW"/>
        </w:rPr>
        <w:t>:</w:t>
      </w:r>
    </w:p>
    <w:p w:rsidR="00CC678F" w:rsidRPr="00CC678F" w:rsidRDefault="00CC678F" w:rsidP="00CC678F">
      <w:pPr>
        <w:ind w:firstLine="993"/>
        <w:rPr>
          <w:rFonts w:asciiTheme="minorHAnsi" w:eastAsiaTheme="minorEastAsia" w:hAnsiTheme="minorHAnsi" w:cs="Arial"/>
          <w:b/>
          <w:sz w:val="22"/>
          <w:szCs w:val="22"/>
          <w:lang w:eastAsia="zh-TW"/>
        </w:rPr>
      </w:pPr>
      <w:r w:rsidRPr="00CC678F">
        <w:rPr>
          <w:rFonts w:asciiTheme="minorHAnsi" w:eastAsiaTheme="minorEastAsia" w:hAnsiTheme="minorHAnsi" w:cs="Arial"/>
          <w:b/>
          <w:sz w:val="22"/>
          <w:szCs w:val="22"/>
          <w:lang w:eastAsia="zh-TW"/>
        </w:rPr>
        <w:t>“SRED Final Project Review Report for the period since 2011 until October 2014”</w:t>
      </w:r>
    </w:p>
    <w:p w:rsidR="00CC678F" w:rsidRPr="00CC678F" w:rsidRDefault="00CC678F" w:rsidP="00CC678F">
      <w:pPr>
        <w:ind w:firstLine="993"/>
        <w:rPr>
          <w:rFonts w:asciiTheme="minorHAnsi" w:eastAsiaTheme="minorEastAsia" w:hAnsiTheme="minorHAnsi" w:cs="Arial"/>
          <w:sz w:val="22"/>
          <w:szCs w:val="22"/>
          <w:lang w:eastAsia="zh-TW"/>
        </w:rPr>
      </w:pPr>
      <w:r w:rsidRPr="00CC678F">
        <w:rPr>
          <w:rFonts w:asciiTheme="minorHAnsi" w:eastAsiaTheme="minorEastAsia" w:hAnsiTheme="minorHAnsi" w:cs="Arial"/>
          <w:sz w:val="22"/>
          <w:szCs w:val="22"/>
          <w:lang w:eastAsia="zh-TW"/>
        </w:rPr>
        <w:t>Mr. Zharas Takenov, SRED Project Manager</w:t>
      </w: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  <w:r w:rsidRPr="00CC678F">
        <w:rPr>
          <w:rFonts w:asciiTheme="minorHAnsi" w:eastAsiaTheme="minorEastAsia" w:hAnsiTheme="minorHAnsi" w:cs="Arial"/>
          <w:b/>
          <w:sz w:val="22"/>
          <w:szCs w:val="22"/>
          <w:lang w:eastAsia="zh-TW"/>
        </w:rPr>
        <w:t>10:40-11:30 Issues, Questions, Answers, Discussion and Statement</w:t>
      </w:r>
      <w:r w:rsidRPr="00CC678F">
        <w:rPr>
          <w:rFonts w:asciiTheme="minorHAnsi" w:eastAsiaTheme="minorEastAsia" w:hAnsiTheme="minorHAnsi" w:cs="Arial"/>
          <w:sz w:val="22"/>
          <w:szCs w:val="22"/>
          <w:lang w:eastAsia="zh-TW"/>
        </w:rPr>
        <w:t xml:space="preserve"> by Project Steering Committee Members.</w:t>
      </w: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</w:p>
    <w:p w:rsidR="00CC678F" w:rsidRPr="00CC678F" w:rsidRDefault="00CC678F" w:rsidP="00CC678F">
      <w:pPr>
        <w:rPr>
          <w:rFonts w:asciiTheme="minorHAnsi" w:eastAsiaTheme="minorEastAsia" w:hAnsiTheme="minorHAnsi" w:cs="Arial"/>
          <w:sz w:val="22"/>
          <w:szCs w:val="22"/>
          <w:lang w:eastAsia="zh-TW"/>
        </w:rPr>
      </w:pPr>
      <w:r w:rsidRPr="00CC678F">
        <w:rPr>
          <w:rFonts w:asciiTheme="minorHAnsi" w:eastAsiaTheme="minorEastAsia" w:hAnsiTheme="minorHAnsi" w:cs="Arial"/>
          <w:b/>
          <w:sz w:val="22"/>
          <w:szCs w:val="22"/>
          <w:lang w:eastAsia="zh-TW"/>
        </w:rPr>
        <w:t>11:30-12:00 – Wrap-ups</w:t>
      </w:r>
      <w:r w:rsidRPr="00CC678F">
        <w:rPr>
          <w:rFonts w:asciiTheme="minorHAnsi" w:eastAsiaTheme="minorEastAsia" w:hAnsiTheme="minorHAnsi" w:cs="Arial"/>
          <w:sz w:val="22"/>
          <w:szCs w:val="22"/>
          <w:lang w:eastAsia="zh-TW"/>
        </w:rPr>
        <w:t>:</w:t>
      </w:r>
    </w:p>
    <w:p w:rsidR="00CC678F" w:rsidRPr="00CC678F" w:rsidRDefault="00CC678F" w:rsidP="00CC678F">
      <w:pPr>
        <w:spacing w:before="120"/>
        <w:ind w:firstLine="993"/>
        <w:rPr>
          <w:rFonts w:asciiTheme="minorHAnsi" w:eastAsiaTheme="minorEastAsia" w:hAnsiTheme="minorHAnsi" w:cs="Arial"/>
          <w:sz w:val="22"/>
          <w:szCs w:val="22"/>
          <w:lang w:eastAsia="zh-TW"/>
        </w:rPr>
      </w:pPr>
      <w:r w:rsidRPr="00CC678F">
        <w:rPr>
          <w:rFonts w:asciiTheme="minorHAnsi" w:eastAsiaTheme="minorEastAsia" w:hAnsiTheme="minorHAnsi" w:cs="Arial"/>
          <w:sz w:val="22"/>
          <w:szCs w:val="22"/>
          <w:lang w:eastAsia="zh-TW"/>
        </w:rPr>
        <w:t>Ms. Shabnam Mallick, Deputy Resident Representative, UNDP DPRK</w:t>
      </w:r>
    </w:p>
    <w:p w:rsidR="00CC678F" w:rsidRPr="00CC678F" w:rsidRDefault="00CC678F" w:rsidP="00CC678F">
      <w:pPr>
        <w:spacing w:before="120"/>
        <w:ind w:firstLine="993"/>
        <w:rPr>
          <w:rFonts w:asciiTheme="minorHAnsi" w:eastAsia="Malgun Gothic" w:hAnsiTheme="minorHAnsi" w:cs="Arial"/>
          <w:sz w:val="22"/>
          <w:szCs w:val="22"/>
          <w:lang w:eastAsia="zh-TW"/>
        </w:rPr>
      </w:pPr>
      <w:r w:rsidRPr="00CC678F">
        <w:rPr>
          <w:rFonts w:asciiTheme="minorHAnsi" w:eastAsiaTheme="minorEastAsia" w:hAnsiTheme="minorHAnsi" w:cs="Arial"/>
          <w:sz w:val="22"/>
          <w:szCs w:val="22"/>
          <w:lang w:eastAsia="zh-TW"/>
        </w:rPr>
        <w:t>Mr. Pak Kyong Chol, Coordinator of National Coordinating Committee for UNDP</w:t>
      </w:r>
    </w:p>
    <w:p w:rsidR="00CC678F" w:rsidRDefault="00CC678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CC678F" w:rsidRDefault="00CC678F" w:rsidP="00DC37BE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F2223" w:rsidRPr="0046593C" w:rsidRDefault="0046593C" w:rsidP="001C3EFC">
      <w:pPr>
        <w:pStyle w:val="Header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593C">
        <w:rPr>
          <w:rFonts w:asciiTheme="minorHAnsi" w:hAnsiTheme="minorHAnsi" w:cstheme="minorHAnsi"/>
          <w:b/>
          <w:sz w:val="22"/>
          <w:szCs w:val="22"/>
          <w:u w:val="single"/>
        </w:rPr>
        <w:t xml:space="preserve">ANNEX 2. </w:t>
      </w:r>
    </w:p>
    <w:p w:rsidR="002F2223" w:rsidRPr="002F2223" w:rsidRDefault="002F2223" w:rsidP="002F2223">
      <w:pPr>
        <w:pStyle w:val="Header"/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149B" w:rsidRPr="00CC678F" w:rsidRDefault="00E8149B" w:rsidP="00E8149B">
      <w:pPr>
        <w:jc w:val="center"/>
        <w:rPr>
          <w:rFonts w:asciiTheme="minorHAnsi" w:eastAsiaTheme="minorHAnsi" w:hAnsiTheme="minorHAnsi"/>
          <w:sz w:val="22"/>
          <w:szCs w:val="22"/>
        </w:rPr>
      </w:pPr>
      <w:r w:rsidRPr="00CC678F">
        <w:rPr>
          <w:rFonts w:asciiTheme="minorHAnsi" w:eastAsiaTheme="minorHAnsi" w:hAnsiTheme="minorHAnsi"/>
          <w:b/>
          <w:sz w:val="22"/>
          <w:szCs w:val="22"/>
        </w:rPr>
        <w:t>List of the Joint Project Steering Committee Meeting on December 12, 2013 Thursday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693"/>
        <w:gridCol w:w="6095"/>
      </w:tblGrid>
      <w:tr w:rsidR="00E8149B" w:rsidRPr="00CC678F" w:rsidTr="00E8149B">
        <w:trPr>
          <w:trHeight w:val="421"/>
        </w:trPr>
        <w:tc>
          <w:tcPr>
            <w:tcW w:w="534" w:type="dxa"/>
            <w:vAlign w:val="center"/>
          </w:tcPr>
          <w:p w:rsidR="00E8149B" w:rsidRPr="00CC678F" w:rsidRDefault="00E8149B" w:rsidP="00040922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8788" w:type="dxa"/>
            <w:gridSpan w:val="2"/>
            <w:vAlign w:val="center"/>
          </w:tcPr>
          <w:p w:rsidR="00E8149B" w:rsidRPr="00CC678F" w:rsidRDefault="00FF2120" w:rsidP="00A8160C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            </w:t>
            </w:r>
            <w:r w:rsidR="00E8149B" w:rsidRP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Name </w:t>
            </w:r>
            <w:r w:rsidR="00A8160C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            </w:t>
            </w:r>
            <w:r w:rsidR="00A8160C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 </w:t>
            </w:r>
            <w:r w:rsidR="00E8149B" w:rsidRP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>Position</w:t>
            </w:r>
          </w:p>
        </w:tc>
      </w:tr>
      <w:tr w:rsidR="00E8149B" w:rsidRPr="00CC678F" w:rsidTr="00E8149B">
        <w:trPr>
          <w:trHeight w:val="684"/>
        </w:trPr>
        <w:tc>
          <w:tcPr>
            <w:tcW w:w="534" w:type="dxa"/>
            <w:vAlign w:val="center"/>
          </w:tcPr>
          <w:p w:rsidR="00E8149B" w:rsidRPr="00CC678F" w:rsidRDefault="00A8160C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 xml:space="preserve">Ms. </w:t>
            </w:r>
            <w:r w:rsidRP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>Shabnam Mallick</w:t>
            </w:r>
          </w:p>
        </w:tc>
        <w:tc>
          <w:tcPr>
            <w:tcW w:w="6095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Deputy Resident Representative, UNDP DPRK</w:t>
            </w:r>
          </w:p>
        </w:tc>
      </w:tr>
      <w:tr w:rsidR="00E8149B" w:rsidRPr="00CC678F" w:rsidTr="00E8149B">
        <w:trPr>
          <w:trHeight w:val="684"/>
        </w:trPr>
        <w:tc>
          <w:tcPr>
            <w:tcW w:w="534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 xml:space="preserve">Mr. </w:t>
            </w:r>
            <w:r w:rsidRP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>Zharas Takenov</w:t>
            </w:r>
          </w:p>
        </w:tc>
        <w:tc>
          <w:tcPr>
            <w:tcW w:w="6095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SRED/SWEDPRA Project Manager, UNDP DPRK</w:t>
            </w:r>
          </w:p>
        </w:tc>
      </w:tr>
      <w:tr w:rsidR="00E8149B" w:rsidRPr="00CC678F" w:rsidTr="00E8149B">
        <w:trPr>
          <w:trHeight w:val="684"/>
        </w:trPr>
        <w:tc>
          <w:tcPr>
            <w:tcW w:w="534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8149B" w:rsidRPr="00CC678F" w:rsidRDefault="00E8149B" w:rsidP="00DC37BE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 xml:space="preserve">Mr. </w:t>
            </w:r>
            <w:r w:rsidR="00DC37BE" w:rsidRP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>Choe</w:t>
            </w:r>
            <w:r w:rsid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 Song Chol</w:t>
            </w:r>
          </w:p>
        </w:tc>
        <w:tc>
          <w:tcPr>
            <w:tcW w:w="6095" w:type="dxa"/>
            <w:vAlign w:val="center"/>
          </w:tcPr>
          <w:p w:rsidR="00E8149B" w:rsidRPr="00CC678F" w:rsidRDefault="00E8149B" w:rsidP="00CC678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 xml:space="preserve">Programme </w:t>
            </w:r>
            <w:r w:rsidR="00CC678F">
              <w:rPr>
                <w:rFonts w:asciiTheme="minorHAnsi" w:eastAsiaTheme="minorHAnsi" w:hAnsiTheme="minorHAnsi"/>
                <w:sz w:val="22"/>
                <w:szCs w:val="22"/>
              </w:rPr>
              <w:t>Analyst</w:t>
            </w: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, UNDP DPRK</w:t>
            </w:r>
          </w:p>
        </w:tc>
      </w:tr>
      <w:tr w:rsidR="00E8149B" w:rsidRPr="00CC678F" w:rsidTr="00E8149B">
        <w:trPr>
          <w:trHeight w:val="684"/>
        </w:trPr>
        <w:tc>
          <w:tcPr>
            <w:tcW w:w="534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 xml:space="preserve">Mr. </w:t>
            </w:r>
            <w:r w:rsidRP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>Yu Kwang</w:t>
            </w:r>
          </w:p>
        </w:tc>
        <w:tc>
          <w:tcPr>
            <w:tcW w:w="6095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Programme Assistant, UNDP DPRK</w:t>
            </w:r>
          </w:p>
        </w:tc>
      </w:tr>
      <w:tr w:rsidR="00E8149B" w:rsidRPr="00CC678F" w:rsidTr="00E8149B">
        <w:trPr>
          <w:trHeight w:val="684"/>
        </w:trPr>
        <w:tc>
          <w:tcPr>
            <w:tcW w:w="534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 xml:space="preserve">Mr. </w:t>
            </w:r>
            <w:r w:rsidRP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>Paek Kyong Chol</w:t>
            </w:r>
          </w:p>
        </w:tc>
        <w:tc>
          <w:tcPr>
            <w:tcW w:w="6095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Administrative Assistant, SRED, UNDP DPRK</w:t>
            </w:r>
          </w:p>
        </w:tc>
      </w:tr>
      <w:tr w:rsidR="00E8149B" w:rsidRPr="00CC678F" w:rsidTr="00E8149B">
        <w:trPr>
          <w:trHeight w:val="684"/>
        </w:trPr>
        <w:tc>
          <w:tcPr>
            <w:tcW w:w="534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 xml:space="preserve">Mr. </w:t>
            </w:r>
            <w:r w:rsidRP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>Pak Kyong Chol</w:t>
            </w:r>
          </w:p>
        </w:tc>
        <w:tc>
          <w:tcPr>
            <w:tcW w:w="6095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Coordinator of National Coordinating Committee for UNDP</w:t>
            </w:r>
          </w:p>
        </w:tc>
      </w:tr>
      <w:tr w:rsidR="00E8149B" w:rsidRPr="00CC678F" w:rsidTr="00E8149B">
        <w:trPr>
          <w:trHeight w:val="684"/>
        </w:trPr>
        <w:tc>
          <w:tcPr>
            <w:tcW w:w="534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 xml:space="preserve">Ms. </w:t>
            </w:r>
            <w:r w:rsidRP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>Hong Jong Hui</w:t>
            </w:r>
          </w:p>
        </w:tc>
        <w:tc>
          <w:tcPr>
            <w:tcW w:w="6095" w:type="dxa"/>
            <w:vAlign w:val="center"/>
          </w:tcPr>
          <w:p w:rsidR="00E8149B" w:rsidRPr="00CC678F" w:rsidRDefault="00E8149B" w:rsidP="00040922">
            <w:pPr>
              <w:rPr>
                <w:rFonts w:asciiTheme="minorHAnsi" w:hAnsiTheme="minorHAnsi"/>
                <w:sz w:val="22"/>
                <w:szCs w:val="22"/>
              </w:rPr>
            </w:pPr>
            <w:r w:rsidRPr="00CC678F">
              <w:rPr>
                <w:rFonts w:asciiTheme="minorHAnsi" w:hAnsiTheme="minorHAnsi"/>
                <w:sz w:val="22"/>
                <w:szCs w:val="22"/>
              </w:rPr>
              <w:t>Senior Officer of Bureau of External Affairs, MEPI</w:t>
            </w:r>
          </w:p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hAnsiTheme="minorHAnsi"/>
                <w:sz w:val="22"/>
                <w:szCs w:val="22"/>
              </w:rPr>
              <w:t>National Project Director (NPD) of SRED,</w:t>
            </w: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 xml:space="preserve"> UNDP DPRK</w:t>
            </w:r>
          </w:p>
        </w:tc>
      </w:tr>
      <w:tr w:rsidR="00E8149B" w:rsidRPr="00CC678F" w:rsidTr="00E8149B">
        <w:trPr>
          <w:trHeight w:val="684"/>
        </w:trPr>
        <w:tc>
          <w:tcPr>
            <w:tcW w:w="534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 xml:space="preserve">Mr. </w:t>
            </w:r>
            <w:r w:rsidRP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>Kim Ryong Chol</w:t>
            </w:r>
          </w:p>
        </w:tc>
        <w:tc>
          <w:tcPr>
            <w:tcW w:w="6095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Officer of Korea Science Corporation of SAOS</w:t>
            </w:r>
            <w:r w:rsidR="006E1FC3">
              <w:rPr>
                <w:rFonts w:asciiTheme="minorHAnsi" w:eastAsiaTheme="minorHAnsi" w:hAnsiTheme="minorHAnsi"/>
                <w:sz w:val="22"/>
                <w:szCs w:val="22"/>
              </w:rPr>
              <w:t>,</w:t>
            </w:r>
          </w:p>
          <w:p w:rsidR="00E8149B" w:rsidRPr="00CC678F" w:rsidRDefault="006E1FC3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Former </w:t>
            </w:r>
            <w:r w:rsidR="00E8149B" w:rsidRPr="00CC678F">
              <w:rPr>
                <w:rFonts w:asciiTheme="minorHAnsi" w:eastAsiaTheme="minorHAnsi" w:hAnsiTheme="minorHAnsi"/>
                <w:sz w:val="22"/>
                <w:szCs w:val="22"/>
              </w:rPr>
              <w:t>Project Technical Manager of SWEDPRA, UNDP DPRK</w:t>
            </w:r>
          </w:p>
        </w:tc>
      </w:tr>
      <w:tr w:rsidR="00E8149B" w:rsidRPr="00CC678F" w:rsidTr="00E8149B">
        <w:trPr>
          <w:trHeight w:val="684"/>
        </w:trPr>
        <w:tc>
          <w:tcPr>
            <w:tcW w:w="534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 xml:space="preserve">Mr. </w:t>
            </w:r>
            <w:r w:rsidRPr="00CC678F">
              <w:rPr>
                <w:rFonts w:asciiTheme="minorHAnsi" w:eastAsiaTheme="minorHAnsi" w:hAnsiTheme="minorHAnsi"/>
                <w:b/>
                <w:sz w:val="22"/>
                <w:szCs w:val="22"/>
              </w:rPr>
              <w:t>Hong Ryun Gi</w:t>
            </w:r>
          </w:p>
        </w:tc>
        <w:tc>
          <w:tcPr>
            <w:tcW w:w="6095" w:type="dxa"/>
            <w:vAlign w:val="center"/>
          </w:tcPr>
          <w:p w:rsidR="00E8149B" w:rsidRPr="00CC678F" w:rsidRDefault="00E8149B" w:rsidP="0004092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678F">
              <w:rPr>
                <w:rFonts w:asciiTheme="minorHAnsi" w:eastAsiaTheme="minorHAnsi" w:hAnsiTheme="minorHAnsi"/>
                <w:sz w:val="22"/>
                <w:szCs w:val="22"/>
              </w:rPr>
              <w:t>General Director, Bureau of International Cooperation on Science, SAOS</w:t>
            </w:r>
          </w:p>
        </w:tc>
      </w:tr>
    </w:tbl>
    <w:p w:rsidR="00D11EDB" w:rsidRDefault="00D11EDB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85AE2" w:rsidRDefault="00685AE2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85AE2" w:rsidRDefault="00685AE2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0807" w:rsidRDefault="00010807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0807" w:rsidRDefault="00010807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0807" w:rsidRDefault="00010807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0807" w:rsidRDefault="00010807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0807" w:rsidRDefault="00010807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0807" w:rsidRDefault="00010807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0807" w:rsidRDefault="00010807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0807" w:rsidRDefault="00010807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0807" w:rsidRDefault="00010807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0807" w:rsidRDefault="00010807" w:rsidP="00F6445C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0807" w:rsidRDefault="00010807" w:rsidP="00010807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0807" w:rsidRPr="00CC678F" w:rsidRDefault="00010807" w:rsidP="00010807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1EDB" w:rsidRPr="00CC678F" w:rsidRDefault="00D11EDB" w:rsidP="00CC678F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C678F">
        <w:rPr>
          <w:rFonts w:asciiTheme="minorHAnsi" w:hAnsiTheme="minorHAnsi" w:cstheme="minorHAnsi"/>
          <w:b/>
          <w:sz w:val="22"/>
          <w:szCs w:val="22"/>
          <w:u w:val="single"/>
        </w:rPr>
        <w:t xml:space="preserve">ANNEX 3.  </w:t>
      </w:r>
    </w:p>
    <w:p w:rsidR="00D11EDB" w:rsidRPr="00CC678F" w:rsidRDefault="00D11EDB" w:rsidP="00CC678F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678F">
        <w:rPr>
          <w:rFonts w:asciiTheme="minorHAnsi" w:hAnsiTheme="minorHAnsi" w:cstheme="minorHAnsi"/>
          <w:sz w:val="22"/>
          <w:szCs w:val="22"/>
        </w:rPr>
        <w:t>Power point p</w:t>
      </w:r>
      <w:r w:rsidR="007F73DD" w:rsidRPr="00CC678F">
        <w:rPr>
          <w:rFonts w:asciiTheme="minorHAnsi" w:hAnsiTheme="minorHAnsi" w:cstheme="minorHAnsi"/>
          <w:sz w:val="22"/>
          <w:szCs w:val="22"/>
        </w:rPr>
        <w:t>resentations of PM of SRED</w:t>
      </w:r>
      <w:r w:rsidR="00CC678F">
        <w:rPr>
          <w:rFonts w:asciiTheme="minorHAnsi" w:hAnsiTheme="minorHAnsi" w:cstheme="minorHAnsi"/>
          <w:sz w:val="22"/>
          <w:szCs w:val="22"/>
        </w:rPr>
        <w:t>:</w:t>
      </w:r>
    </w:p>
    <w:p w:rsidR="00C23A74" w:rsidRDefault="006950E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782111" cy="208668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97" cy="208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A74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840344" cy="213035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38" cy="2130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879253" cy="2159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53" cy="21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840346" cy="2130358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40" cy="213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879253" cy="2159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53" cy="21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918162" cy="218872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67" cy="2189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866284" cy="2149813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82" cy="2150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937753" cy="220341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61" cy="220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986391" cy="2239897"/>
            <wp:effectExtent l="0" t="0" r="508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06" cy="2240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821021" cy="21158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13" cy="2116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840346" cy="2130358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40" cy="213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840477" cy="2130457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72" cy="213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752928" cy="206479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10" cy="2065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087D2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vi-VN" w:eastAsia="vi-VN"/>
        </w:rPr>
        <w:drawing>
          <wp:inline distT="0" distB="0" distL="0" distR="0">
            <wp:extent cx="2752928" cy="206479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10" cy="2065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E7" w:rsidRDefault="006950E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50E7" w:rsidRDefault="006950E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50E7" w:rsidRDefault="006950E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50E7" w:rsidRDefault="006950E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50E7" w:rsidRDefault="006950E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50E7" w:rsidRDefault="006950E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50E7" w:rsidRDefault="006950E7">
      <w:pPr>
        <w:pStyle w:val="Header"/>
        <w:tabs>
          <w:tab w:val="clear" w:pos="4320"/>
          <w:tab w:val="clear" w:pos="8640"/>
        </w:tabs>
        <w:spacing w:line="288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50E7" w:rsidSect="00A77BE5">
      <w:headerReference w:type="default" r:id="rId22"/>
      <w:footerReference w:type="default" r:id="rId23"/>
      <w:headerReference w:type="first" r:id="rId24"/>
      <w:pgSz w:w="11907" w:h="16840" w:code="9"/>
      <w:pgMar w:top="1440" w:right="1440" w:bottom="1440" w:left="1440" w:header="227" w:footer="63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8A" w:rsidRDefault="00B5248A">
      <w:pPr>
        <w:rPr>
          <w:rFonts w:hint="eastAsia"/>
        </w:rPr>
      </w:pPr>
      <w:r>
        <w:separator/>
      </w:r>
    </w:p>
  </w:endnote>
  <w:endnote w:type="continuationSeparator" w:id="0">
    <w:p w:rsidR="00B5248A" w:rsidRDefault="00B524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D7" w:rsidRDefault="008C60FE">
    <w:pPr>
      <w:pStyle w:val="Footer"/>
      <w:jc w:val="right"/>
      <w:rPr>
        <w:rFonts w:hint="eastAsia"/>
      </w:rPr>
    </w:pPr>
    <w:r>
      <w:fldChar w:fldCharType="begin"/>
    </w:r>
    <w:r w:rsidR="001A39F8">
      <w:instrText xml:space="preserve"> PAGE   \* MERGEFORMAT </w:instrText>
    </w:r>
    <w:r>
      <w:fldChar w:fldCharType="separate"/>
    </w:r>
    <w:r w:rsidR="00485DFC">
      <w:rPr>
        <w:rFonts w:hint="eastAsia"/>
        <w:noProof/>
      </w:rPr>
      <w:t>10</w:t>
    </w:r>
    <w:r>
      <w:rPr>
        <w:noProof/>
      </w:rPr>
      <w:fldChar w:fldCharType="end"/>
    </w:r>
  </w:p>
  <w:p w:rsidR="0063396E" w:rsidRDefault="0063396E">
    <w:pPr>
      <w:pStyle w:val="Footer"/>
      <w:tabs>
        <w:tab w:val="clear" w:pos="4320"/>
        <w:tab w:val="clear" w:pos="8640"/>
      </w:tabs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8A" w:rsidRDefault="00B5248A">
      <w:pPr>
        <w:rPr>
          <w:rFonts w:hint="eastAsia"/>
        </w:rPr>
      </w:pPr>
      <w:r>
        <w:separator/>
      </w:r>
    </w:p>
  </w:footnote>
  <w:footnote w:type="continuationSeparator" w:id="0">
    <w:p w:rsidR="00B5248A" w:rsidRDefault="00B524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6E" w:rsidRDefault="0063396E">
    <w:pPr>
      <w:pStyle w:val="Header"/>
      <w:tabs>
        <w:tab w:val="clear" w:pos="4320"/>
        <w:tab w:val="clear" w:pos="8640"/>
      </w:tabs>
      <w:ind w:right="28"/>
      <w:rPr>
        <w:rFonts w:hint="eastAsia"/>
        <w:b/>
        <w:bCs/>
        <w:spacing w:val="-4"/>
        <w:sz w:val="22"/>
        <w:lang w:val="en-GB"/>
      </w:rPr>
    </w:pPr>
  </w:p>
  <w:p w:rsidR="0063396E" w:rsidRDefault="0063396E">
    <w:pPr>
      <w:pStyle w:val="Header"/>
      <w:tabs>
        <w:tab w:val="clear" w:pos="4320"/>
        <w:tab w:val="clear" w:pos="8640"/>
      </w:tabs>
      <w:ind w:right="28"/>
      <w:jc w:val="right"/>
      <w:rPr>
        <w:rFonts w:hint="eastAsia"/>
        <w:lang w:val="en-GB"/>
      </w:rPr>
    </w:pPr>
  </w:p>
  <w:p w:rsidR="0063396E" w:rsidRDefault="0063396E">
    <w:pPr>
      <w:pStyle w:val="Header"/>
      <w:tabs>
        <w:tab w:val="clear" w:pos="4320"/>
        <w:tab w:val="clear" w:pos="8640"/>
      </w:tabs>
      <w:ind w:right="28"/>
      <w:jc w:val="right"/>
      <w:rPr>
        <w:rFonts w:hint="eastAsia"/>
        <w:lang w:val="en-GB"/>
      </w:rPr>
    </w:pPr>
  </w:p>
  <w:p w:rsidR="0063396E" w:rsidRDefault="0063396E">
    <w:pPr>
      <w:pStyle w:val="Header"/>
      <w:tabs>
        <w:tab w:val="clear" w:pos="4320"/>
        <w:tab w:val="clear" w:pos="8640"/>
      </w:tabs>
      <w:ind w:right="28"/>
      <w:jc w:val="right"/>
      <w:rPr>
        <w:rFonts w:hint="eastAsia"/>
        <w:lang w:val="en-GB"/>
      </w:rPr>
    </w:pPr>
  </w:p>
  <w:p w:rsidR="0063396E" w:rsidRDefault="0063396E">
    <w:pPr>
      <w:pStyle w:val="Header"/>
      <w:tabs>
        <w:tab w:val="clear" w:pos="4320"/>
        <w:tab w:val="clear" w:pos="8640"/>
      </w:tabs>
      <w:ind w:right="28"/>
      <w:jc w:val="right"/>
      <w:rPr>
        <w:rFonts w:hint="eastAsia"/>
        <w:lang w:val="en-GB"/>
      </w:rPr>
    </w:pPr>
  </w:p>
  <w:p w:rsidR="0063396E" w:rsidRDefault="0063396E">
    <w:pPr>
      <w:pStyle w:val="Header"/>
      <w:tabs>
        <w:tab w:val="clear" w:pos="4320"/>
        <w:tab w:val="clear" w:pos="8640"/>
      </w:tabs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DC" w:rsidRDefault="002D7CDC" w:rsidP="002D7CDC">
    <w:pPr>
      <w:pStyle w:val="Header"/>
      <w:tabs>
        <w:tab w:val="clear" w:pos="4320"/>
        <w:tab w:val="clear" w:pos="8640"/>
      </w:tabs>
      <w:ind w:right="28"/>
      <w:rPr>
        <w:rFonts w:hint="eastAsia"/>
        <w:b/>
        <w:bCs/>
        <w:spacing w:val="-4"/>
        <w:sz w:val="22"/>
        <w:lang w:val="en-GB"/>
      </w:rPr>
    </w:pPr>
  </w:p>
  <w:p w:rsidR="002D7CDC" w:rsidRDefault="002D7CDC" w:rsidP="002D7CDC">
    <w:pPr>
      <w:pStyle w:val="Header"/>
      <w:tabs>
        <w:tab w:val="clear" w:pos="4320"/>
        <w:tab w:val="clear" w:pos="8640"/>
      </w:tabs>
      <w:ind w:right="28"/>
      <w:rPr>
        <w:rFonts w:hint="eastAsia"/>
        <w:b/>
        <w:bCs/>
        <w:spacing w:val="-4"/>
        <w:sz w:val="22"/>
        <w:lang w:val="en-GB"/>
      </w:rPr>
    </w:pPr>
  </w:p>
  <w:p w:rsidR="002D7CDC" w:rsidRDefault="002D7CDC" w:rsidP="002D7CDC">
    <w:pPr>
      <w:pStyle w:val="Header"/>
      <w:tabs>
        <w:tab w:val="clear" w:pos="4320"/>
        <w:tab w:val="clear" w:pos="8640"/>
      </w:tabs>
      <w:ind w:right="28"/>
      <w:rPr>
        <w:rFonts w:hint="eastAsia"/>
        <w:b/>
        <w:bCs/>
        <w:spacing w:val="-4"/>
        <w:sz w:val="22"/>
        <w:lang w:val="en-GB"/>
      </w:rPr>
    </w:pPr>
  </w:p>
  <w:p w:rsidR="002D7CDC" w:rsidRDefault="00BE0C0D" w:rsidP="002D7CDC">
    <w:pPr>
      <w:pStyle w:val="Header"/>
      <w:tabs>
        <w:tab w:val="clear" w:pos="4320"/>
        <w:tab w:val="clear" w:pos="8640"/>
      </w:tabs>
      <w:ind w:right="28"/>
      <w:rPr>
        <w:rFonts w:hint="eastAsia"/>
        <w:b/>
        <w:bCs/>
        <w:spacing w:val="-4"/>
        <w:sz w:val="22"/>
        <w:lang w:val="en-GB"/>
      </w:rPr>
    </w:pPr>
    <w:r>
      <w:rPr>
        <w:noProof/>
        <w:lang w:val="vi-VN" w:eastAsia="vi-V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151765</wp:posOffset>
          </wp:positionV>
          <wp:extent cx="647700" cy="1295400"/>
          <wp:effectExtent l="19050" t="0" r="0" b="0"/>
          <wp:wrapSquare wrapText="bothSides"/>
          <wp:docPr id="26" name="Picture 26" descr="und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7CDC" w:rsidRDefault="002D7CDC" w:rsidP="002D7CDC">
    <w:pPr>
      <w:pStyle w:val="Header"/>
      <w:tabs>
        <w:tab w:val="clear" w:pos="4320"/>
        <w:tab w:val="clear" w:pos="8640"/>
      </w:tabs>
      <w:ind w:right="28"/>
      <w:rPr>
        <w:rFonts w:hint="eastAsia"/>
        <w:b/>
        <w:bCs/>
        <w:spacing w:val="-4"/>
        <w:sz w:val="22"/>
        <w:lang w:val="en-GB"/>
      </w:rPr>
    </w:pPr>
    <w:r>
      <w:rPr>
        <w:b/>
        <w:bCs/>
        <w:spacing w:val="-4"/>
        <w:sz w:val="22"/>
        <w:lang w:val="en-GB"/>
      </w:rPr>
      <w:t>United Nations Development Programme</w:t>
    </w:r>
  </w:p>
  <w:p w:rsidR="002D7CDC" w:rsidRDefault="002D7CDC" w:rsidP="002D7CDC">
    <w:pPr>
      <w:pStyle w:val="InterofficeMemorandumheading"/>
      <w:framePr w:w="1641" w:hSpace="187" w:wrap="around" w:vAnchor="page" w:hAnchor="page" w:x="9834" w:y="3361" w:anchorLock="1"/>
      <w:tabs>
        <w:tab w:val="clear" w:pos="6840"/>
        <w:tab w:val="clear" w:pos="8368"/>
      </w:tabs>
      <w:jc w:val="center"/>
      <w:rPr>
        <w:rFonts w:ascii="Myriad Pro" w:hAnsi="Myriad Pro" w:hint="eastAsia"/>
        <w:b w:val="0"/>
        <w:bCs/>
        <w:i/>
        <w:iCs/>
        <w:spacing w:val="4"/>
        <w:sz w:val="24"/>
        <w:lang w:val="en-GB"/>
      </w:rPr>
    </w:pPr>
    <w:r>
      <w:rPr>
        <w:rFonts w:ascii="Myriad Pro" w:hAnsi="Myriad Pro"/>
        <w:b w:val="0"/>
        <w:bCs/>
        <w:i/>
        <w:iCs/>
        <w:spacing w:val="-4"/>
        <w:sz w:val="24"/>
        <w:lang w:val="en-GB"/>
      </w:rPr>
      <w:t xml:space="preserve">DPR </w:t>
    </w:r>
    <w:smartTag w:uri="urn:schemas-microsoft-com:office:smarttags" w:element="country-region">
      <w:smartTag w:uri="urn:schemas-microsoft-com:office:smarttags" w:element="place">
        <w:r>
          <w:rPr>
            <w:rFonts w:ascii="Myriad Pro" w:hAnsi="Myriad Pro"/>
            <w:b w:val="0"/>
            <w:bCs/>
            <w:i/>
            <w:iCs/>
            <w:spacing w:val="-4"/>
            <w:sz w:val="24"/>
            <w:lang w:val="en-GB"/>
          </w:rPr>
          <w:t>Korea</w:t>
        </w:r>
      </w:smartTag>
    </w:smartTag>
  </w:p>
  <w:p w:rsidR="002D7CDC" w:rsidRDefault="00BE0C0D">
    <w:pPr>
      <w:pStyle w:val="Header"/>
      <w:rPr>
        <w:rFonts w:hint="eastAsia"/>
      </w:rPr>
    </w:pPr>
    <w:r>
      <w:rPr>
        <w:noProof/>
        <w:lang w:val="vi-VN" w:eastAsia="vi-V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32385</wp:posOffset>
          </wp:positionV>
          <wp:extent cx="2171700" cy="391160"/>
          <wp:effectExtent l="19050" t="0" r="0" b="0"/>
          <wp:wrapNone/>
          <wp:docPr id="27" name="Picture 27" descr="log nam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nam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8AEB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04A69"/>
    <w:multiLevelType w:val="hybridMultilevel"/>
    <w:tmpl w:val="DFA08F82"/>
    <w:lvl w:ilvl="0" w:tplc="DBACE0B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B27CD"/>
    <w:multiLevelType w:val="hybridMultilevel"/>
    <w:tmpl w:val="36302696"/>
    <w:lvl w:ilvl="0" w:tplc="A052EE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9443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BC7E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3056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8C1E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74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EA85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BE3A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E62F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39D01EE"/>
    <w:multiLevelType w:val="hybridMultilevel"/>
    <w:tmpl w:val="73F6216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5660E8"/>
    <w:multiLevelType w:val="hybridMultilevel"/>
    <w:tmpl w:val="E56C1A00"/>
    <w:lvl w:ilvl="0" w:tplc="F58C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E7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EA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C5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44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0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E7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8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B84058"/>
    <w:multiLevelType w:val="hybridMultilevel"/>
    <w:tmpl w:val="3D6E35B6"/>
    <w:lvl w:ilvl="0" w:tplc="E20EE0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9A7B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679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DAB3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6CFD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126F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C2B4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36F6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6C1F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03B798D"/>
    <w:multiLevelType w:val="hybridMultilevel"/>
    <w:tmpl w:val="E0B65A9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E14270"/>
    <w:multiLevelType w:val="hybridMultilevel"/>
    <w:tmpl w:val="EB7EDCD6"/>
    <w:lvl w:ilvl="0" w:tplc="C1E890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5C20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6657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EC07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4685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54AA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BC15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D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2844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28C6767"/>
    <w:multiLevelType w:val="hybridMultilevel"/>
    <w:tmpl w:val="C9D23014"/>
    <w:lvl w:ilvl="0" w:tplc="9D401F6C">
      <w:start w:val="2005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C79EC"/>
    <w:multiLevelType w:val="hybridMultilevel"/>
    <w:tmpl w:val="5286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F5638"/>
    <w:multiLevelType w:val="hybridMultilevel"/>
    <w:tmpl w:val="6E30B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B40A5"/>
    <w:multiLevelType w:val="hybridMultilevel"/>
    <w:tmpl w:val="C1240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00622"/>
    <w:multiLevelType w:val="hybridMultilevel"/>
    <w:tmpl w:val="DFF0A98C"/>
    <w:lvl w:ilvl="0" w:tplc="EE108B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0AD9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B26E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FE75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E0BF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74FB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CD1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6ADB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5846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8466D9C"/>
    <w:multiLevelType w:val="hybridMultilevel"/>
    <w:tmpl w:val="7054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2483A"/>
    <w:multiLevelType w:val="hybridMultilevel"/>
    <w:tmpl w:val="195C5A8C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  <w:num w:numId="15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517E"/>
    <w:rsid w:val="00004171"/>
    <w:rsid w:val="00010807"/>
    <w:rsid w:val="00015142"/>
    <w:rsid w:val="0003700F"/>
    <w:rsid w:val="0004460C"/>
    <w:rsid w:val="000449B4"/>
    <w:rsid w:val="00053C46"/>
    <w:rsid w:val="000543C5"/>
    <w:rsid w:val="00057790"/>
    <w:rsid w:val="00087D27"/>
    <w:rsid w:val="000B1C6A"/>
    <w:rsid w:val="000C4C58"/>
    <w:rsid w:val="000C7059"/>
    <w:rsid w:val="000D1163"/>
    <w:rsid w:val="000E16FB"/>
    <w:rsid w:val="000E4DA8"/>
    <w:rsid w:val="000F394C"/>
    <w:rsid w:val="0011004A"/>
    <w:rsid w:val="00117B52"/>
    <w:rsid w:val="00120026"/>
    <w:rsid w:val="00121577"/>
    <w:rsid w:val="00131408"/>
    <w:rsid w:val="0013218F"/>
    <w:rsid w:val="00134F9D"/>
    <w:rsid w:val="00140294"/>
    <w:rsid w:val="0017181E"/>
    <w:rsid w:val="00173094"/>
    <w:rsid w:val="001879DE"/>
    <w:rsid w:val="001A39F8"/>
    <w:rsid w:val="001C3326"/>
    <w:rsid w:val="001C3370"/>
    <w:rsid w:val="001C3EFC"/>
    <w:rsid w:val="001C5A9A"/>
    <w:rsid w:val="001D2818"/>
    <w:rsid w:val="001D73F7"/>
    <w:rsid w:val="001E6D2A"/>
    <w:rsid w:val="001F22B6"/>
    <w:rsid w:val="00234C76"/>
    <w:rsid w:val="00235284"/>
    <w:rsid w:val="002372D9"/>
    <w:rsid w:val="00237CC7"/>
    <w:rsid w:val="00241F80"/>
    <w:rsid w:val="00247A5A"/>
    <w:rsid w:val="00257FC6"/>
    <w:rsid w:val="00274ECB"/>
    <w:rsid w:val="0028517E"/>
    <w:rsid w:val="00287213"/>
    <w:rsid w:val="00292249"/>
    <w:rsid w:val="00297D48"/>
    <w:rsid w:val="002B271A"/>
    <w:rsid w:val="002B656B"/>
    <w:rsid w:val="002C29D8"/>
    <w:rsid w:val="002D7CDC"/>
    <w:rsid w:val="002F1751"/>
    <w:rsid w:val="002F2223"/>
    <w:rsid w:val="00313F15"/>
    <w:rsid w:val="00335D30"/>
    <w:rsid w:val="00341BFA"/>
    <w:rsid w:val="00356318"/>
    <w:rsid w:val="00362D34"/>
    <w:rsid w:val="00365A50"/>
    <w:rsid w:val="00377CB5"/>
    <w:rsid w:val="00383577"/>
    <w:rsid w:val="00397842"/>
    <w:rsid w:val="003A1867"/>
    <w:rsid w:val="003A287A"/>
    <w:rsid w:val="003A5F39"/>
    <w:rsid w:val="003B4FF2"/>
    <w:rsid w:val="003B7A10"/>
    <w:rsid w:val="003C6941"/>
    <w:rsid w:val="003C7682"/>
    <w:rsid w:val="003D318E"/>
    <w:rsid w:val="003E1362"/>
    <w:rsid w:val="003E7DD7"/>
    <w:rsid w:val="003F1591"/>
    <w:rsid w:val="003F3C3F"/>
    <w:rsid w:val="00404DFD"/>
    <w:rsid w:val="0042035E"/>
    <w:rsid w:val="00427D26"/>
    <w:rsid w:val="00456FE2"/>
    <w:rsid w:val="00462C30"/>
    <w:rsid w:val="00464522"/>
    <w:rsid w:val="004648A4"/>
    <w:rsid w:val="0046593C"/>
    <w:rsid w:val="004832A2"/>
    <w:rsid w:val="00485DFC"/>
    <w:rsid w:val="004861BA"/>
    <w:rsid w:val="004A1E80"/>
    <w:rsid w:val="004C4303"/>
    <w:rsid w:val="004C5099"/>
    <w:rsid w:val="004C7AA1"/>
    <w:rsid w:val="004F063C"/>
    <w:rsid w:val="004F300F"/>
    <w:rsid w:val="005175C6"/>
    <w:rsid w:val="005205C3"/>
    <w:rsid w:val="0054269D"/>
    <w:rsid w:val="00550BBE"/>
    <w:rsid w:val="005564CF"/>
    <w:rsid w:val="00574916"/>
    <w:rsid w:val="00577CFB"/>
    <w:rsid w:val="005A0C50"/>
    <w:rsid w:val="005A606B"/>
    <w:rsid w:val="005B6468"/>
    <w:rsid w:val="005C4589"/>
    <w:rsid w:val="006059FD"/>
    <w:rsid w:val="00617F34"/>
    <w:rsid w:val="0063396E"/>
    <w:rsid w:val="00633D81"/>
    <w:rsid w:val="006356EE"/>
    <w:rsid w:val="006438DA"/>
    <w:rsid w:val="00655D09"/>
    <w:rsid w:val="00670BF0"/>
    <w:rsid w:val="00675985"/>
    <w:rsid w:val="00684540"/>
    <w:rsid w:val="00685AE2"/>
    <w:rsid w:val="00693281"/>
    <w:rsid w:val="00694E7D"/>
    <w:rsid w:val="006950E7"/>
    <w:rsid w:val="006B6928"/>
    <w:rsid w:val="006C62A5"/>
    <w:rsid w:val="006D2E0A"/>
    <w:rsid w:val="006D71F1"/>
    <w:rsid w:val="006E1FC3"/>
    <w:rsid w:val="006E6B37"/>
    <w:rsid w:val="00702D8F"/>
    <w:rsid w:val="007327A1"/>
    <w:rsid w:val="007327C7"/>
    <w:rsid w:val="00745764"/>
    <w:rsid w:val="00764E25"/>
    <w:rsid w:val="00773F38"/>
    <w:rsid w:val="00774541"/>
    <w:rsid w:val="00783BFE"/>
    <w:rsid w:val="00791B10"/>
    <w:rsid w:val="007952E8"/>
    <w:rsid w:val="007A2E9F"/>
    <w:rsid w:val="007B349B"/>
    <w:rsid w:val="007B676B"/>
    <w:rsid w:val="007C03A6"/>
    <w:rsid w:val="007D54E9"/>
    <w:rsid w:val="007E5885"/>
    <w:rsid w:val="007F6EC2"/>
    <w:rsid w:val="007F73DD"/>
    <w:rsid w:val="00825121"/>
    <w:rsid w:val="00826EA4"/>
    <w:rsid w:val="00831BF1"/>
    <w:rsid w:val="0084582C"/>
    <w:rsid w:val="008568EF"/>
    <w:rsid w:val="00857D63"/>
    <w:rsid w:val="00883D9F"/>
    <w:rsid w:val="00884533"/>
    <w:rsid w:val="008856FA"/>
    <w:rsid w:val="00892623"/>
    <w:rsid w:val="008A1084"/>
    <w:rsid w:val="008B48C3"/>
    <w:rsid w:val="008C0C55"/>
    <w:rsid w:val="008C1D0A"/>
    <w:rsid w:val="008C60FE"/>
    <w:rsid w:val="008D4944"/>
    <w:rsid w:val="008D64A0"/>
    <w:rsid w:val="008F00CD"/>
    <w:rsid w:val="008F044C"/>
    <w:rsid w:val="008F0E81"/>
    <w:rsid w:val="008F660A"/>
    <w:rsid w:val="009017D7"/>
    <w:rsid w:val="00907671"/>
    <w:rsid w:val="009113DA"/>
    <w:rsid w:val="00926153"/>
    <w:rsid w:val="0093128B"/>
    <w:rsid w:val="009314CB"/>
    <w:rsid w:val="00932D91"/>
    <w:rsid w:val="00944E31"/>
    <w:rsid w:val="00945DCD"/>
    <w:rsid w:val="00956854"/>
    <w:rsid w:val="0096157B"/>
    <w:rsid w:val="00962272"/>
    <w:rsid w:val="0096410F"/>
    <w:rsid w:val="00992920"/>
    <w:rsid w:val="009932E2"/>
    <w:rsid w:val="00995E1C"/>
    <w:rsid w:val="009A00E1"/>
    <w:rsid w:val="009A34C6"/>
    <w:rsid w:val="009E5A87"/>
    <w:rsid w:val="009F1966"/>
    <w:rsid w:val="009F1EB5"/>
    <w:rsid w:val="00A014E0"/>
    <w:rsid w:val="00A27F68"/>
    <w:rsid w:val="00A30827"/>
    <w:rsid w:val="00A32FDE"/>
    <w:rsid w:val="00A3462A"/>
    <w:rsid w:val="00A347F1"/>
    <w:rsid w:val="00A37497"/>
    <w:rsid w:val="00A448B2"/>
    <w:rsid w:val="00A53D93"/>
    <w:rsid w:val="00A570C7"/>
    <w:rsid w:val="00A66E88"/>
    <w:rsid w:val="00A73900"/>
    <w:rsid w:val="00A77BE5"/>
    <w:rsid w:val="00A8135C"/>
    <w:rsid w:val="00A8160C"/>
    <w:rsid w:val="00AA59B0"/>
    <w:rsid w:val="00AB0DD4"/>
    <w:rsid w:val="00AC17B1"/>
    <w:rsid w:val="00AC1B69"/>
    <w:rsid w:val="00AC2ED3"/>
    <w:rsid w:val="00AD193A"/>
    <w:rsid w:val="00AD6D1D"/>
    <w:rsid w:val="00AF3515"/>
    <w:rsid w:val="00B07719"/>
    <w:rsid w:val="00B07C9A"/>
    <w:rsid w:val="00B14F04"/>
    <w:rsid w:val="00B30DB2"/>
    <w:rsid w:val="00B4387C"/>
    <w:rsid w:val="00B5248A"/>
    <w:rsid w:val="00B561B1"/>
    <w:rsid w:val="00B81E4D"/>
    <w:rsid w:val="00B921B1"/>
    <w:rsid w:val="00B9259C"/>
    <w:rsid w:val="00B9437A"/>
    <w:rsid w:val="00BA23DE"/>
    <w:rsid w:val="00BA680F"/>
    <w:rsid w:val="00BD566B"/>
    <w:rsid w:val="00BE0C0D"/>
    <w:rsid w:val="00C04ABA"/>
    <w:rsid w:val="00C11A06"/>
    <w:rsid w:val="00C20A86"/>
    <w:rsid w:val="00C20FD3"/>
    <w:rsid w:val="00C23A74"/>
    <w:rsid w:val="00C23B6B"/>
    <w:rsid w:val="00C319D4"/>
    <w:rsid w:val="00C32508"/>
    <w:rsid w:val="00C35C44"/>
    <w:rsid w:val="00C377C5"/>
    <w:rsid w:val="00C4089A"/>
    <w:rsid w:val="00C445D3"/>
    <w:rsid w:val="00C51AF8"/>
    <w:rsid w:val="00C540E6"/>
    <w:rsid w:val="00C54ABE"/>
    <w:rsid w:val="00C62A80"/>
    <w:rsid w:val="00C65227"/>
    <w:rsid w:val="00C71233"/>
    <w:rsid w:val="00C71B4C"/>
    <w:rsid w:val="00C7338D"/>
    <w:rsid w:val="00C73D3E"/>
    <w:rsid w:val="00C75379"/>
    <w:rsid w:val="00C76EBF"/>
    <w:rsid w:val="00C846CE"/>
    <w:rsid w:val="00CA34D0"/>
    <w:rsid w:val="00CC678F"/>
    <w:rsid w:val="00CF7B7B"/>
    <w:rsid w:val="00D047FD"/>
    <w:rsid w:val="00D11EDB"/>
    <w:rsid w:val="00D2245E"/>
    <w:rsid w:val="00D4552C"/>
    <w:rsid w:val="00D47BF8"/>
    <w:rsid w:val="00D56240"/>
    <w:rsid w:val="00D600B8"/>
    <w:rsid w:val="00D74FA1"/>
    <w:rsid w:val="00D81EC5"/>
    <w:rsid w:val="00D832FA"/>
    <w:rsid w:val="00D93F78"/>
    <w:rsid w:val="00DC37BE"/>
    <w:rsid w:val="00DC6577"/>
    <w:rsid w:val="00DC66A1"/>
    <w:rsid w:val="00DD0230"/>
    <w:rsid w:val="00DD67EF"/>
    <w:rsid w:val="00DF4E96"/>
    <w:rsid w:val="00DF75CE"/>
    <w:rsid w:val="00E0329A"/>
    <w:rsid w:val="00E03BB8"/>
    <w:rsid w:val="00E0442B"/>
    <w:rsid w:val="00E052C1"/>
    <w:rsid w:val="00E07FFA"/>
    <w:rsid w:val="00E17819"/>
    <w:rsid w:val="00E17A50"/>
    <w:rsid w:val="00E25DF8"/>
    <w:rsid w:val="00E27227"/>
    <w:rsid w:val="00E312CE"/>
    <w:rsid w:val="00E32C17"/>
    <w:rsid w:val="00E4132F"/>
    <w:rsid w:val="00E415ED"/>
    <w:rsid w:val="00E4498A"/>
    <w:rsid w:val="00E56174"/>
    <w:rsid w:val="00E561AD"/>
    <w:rsid w:val="00E5628C"/>
    <w:rsid w:val="00E57867"/>
    <w:rsid w:val="00E6035C"/>
    <w:rsid w:val="00E744D5"/>
    <w:rsid w:val="00E8149B"/>
    <w:rsid w:val="00E8456D"/>
    <w:rsid w:val="00E867C3"/>
    <w:rsid w:val="00EA1127"/>
    <w:rsid w:val="00EB2DA8"/>
    <w:rsid w:val="00EB442C"/>
    <w:rsid w:val="00EC04A7"/>
    <w:rsid w:val="00EC427E"/>
    <w:rsid w:val="00EC7141"/>
    <w:rsid w:val="00EE1EB6"/>
    <w:rsid w:val="00EF27CA"/>
    <w:rsid w:val="00F12FE7"/>
    <w:rsid w:val="00F22083"/>
    <w:rsid w:val="00F25FC3"/>
    <w:rsid w:val="00F358C6"/>
    <w:rsid w:val="00F414B4"/>
    <w:rsid w:val="00F422A3"/>
    <w:rsid w:val="00F46F80"/>
    <w:rsid w:val="00F52AEB"/>
    <w:rsid w:val="00F5694B"/>
    <w:rsid w:val="00F60CE9"/>
    <w:rsid w:val="00F6445C"/>
    <w:rsid w:val="00F668DA"/>
    <w:rsid w:val="00F82CEF"/>
    <w:rsid w:val="00F86B4E"/>
    <w:rsid w:val="00FB2DAB"/>
    <w:rsid w:val="00FB7138"/>
    <w:rsid w:val="00FB745B"/>
    <w:rsid w:val="00FD1DEB"/>
    <w:rsid w:val="00FD2872"/>
    <w:rsid w:val="00FF107F"/>
    <w:rsid w:val="00FF2120"/>
    <w:rsid w:val="00FF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3F7"/>
    <w:rPr>
      <w:rFonts w:ascii="Myriad Pro" w:hAnsi="Myriad Pro"/>
    </w:rPr>
  </w:style>
  <w:style w:type="paragraph" w:styleId="Heading1">
    <w:name w:val="heading 1"/>
    <w:basedOn w:val="Normal"/>
    <w:next w:val="Normal"/>
    <w:qFormat/>
    <w:rsid w:val="001D73F7"/>
    <w:pPr>
      <w:keepNext/>
      <w:outlineLvl w:val="0"/>
    </w:pPr>
    <w:rPr>
      <w:rFonts w:cs="Tahoma"/>
      <w:sz w:val="24"/>
    </w:rPr>
  </w:style>
  <w:style w:type="paragraph" w:styleId="Heading2">
    <w:name w:val="heading 2"/>
    <w:basedOn w:val="Normal"/>
    <w:next w:val="Normal"/>
    <w:qFormat/>
    <w:rsid w:val="001D73F7"/>
    <w:pPr>
      <w:keepNext/>
      <w:jc w:val="center"/>
      <w:outlineLvl w:val="1"/>
    </w:pPr>
    <w:rPr>
      <w:i/>
      <w:iCs/>
      <w:sz w:val="24"/>
      <w:szCs w:val="24"/>
      <w:lang w:eastAsia="zh-TW"/>
    </w:rPr>
  </w:style>
  <w:style w:type="paragraph" w:styleId="Heading3">
    <w:name w:val="heading 3"/>
    <w:basedOn w:val="Normal"/>
    <w:next w:val="Normal"/>
    <w:qFormat/>
    <w:rsid w:val="001D73F7"/>
    <w:pPr>
      <w:keepNext/>
      <w:ind w:left="720"/>
      <w:jc w:val="both"/>
      <w:outlineLvl w:val="2"/>
    </w:pPr>
    <w:rPr>
      <w:b/>
      <w:bCs/>
      <w:i/>
      <w:iCs/>
      <w:sz w:val="24"/>
      <w:szCs w:val="24"/>
      <w:lang w:eastAsia="zh-TW"/>
    </w:rPr>
  </w:style>
  <w:style w:type="paragraph" w:styleId="Heading4">
    <w:name w:val="heading 4"/>
    <w:basedOn w:val="Normal"/>
    <w:next w:val="Normal"/>
    <w:qFormat/>
    <w:rsid w:val="001D73F7"/>
    <w:pPr>
      <w:keepNext/>
      <w:jc w:val="right"/>
      <w:outlineLvl w:val="3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3F7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1D73F7"/>
  </w:style>
  <w:style w:type="paragraph" w:customStyle="1" w:styleId="Memoheading">
    <w:name w:val="Memo heading"/>
    <w:rsid w:val="001D73F7"/>
    <w:rPr>
      <w:noProof/>
    </w:rPr>
  </w:style>
  <w:style w:type="paragraph" w:customStyle="1" w:styleId="InterofficeMemorandumheading">
    <w:name w:val="Interoffice Memorandum heading"/>
    <w:basedOn w:val="Memoheading"/>
    <w:rsid w:val="001D73F7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rsid w:val="001D73F7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Footer">
    <w:name w:val="footer"/>
    <w:basedOn w:val="Normal"/>
    <w:link w:val="FooterChar"/>
    <w:uiPriority w:val="99"/>
    <w:rsid w:val="001D73F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D73F7"/>
    <w:pPr>
      <w:ind w:left="720"/>
      <w:jc w:val="both"/>
    </w:pPr>
    <w:rPr>
      <w:b/>
      <w:bCs/>
      <w:i/>
      <w:iCs/>
      <w:sz w:val="24"/>
      <w:szCs w:val="24"/>
      <w:lang w:eastAsia="zh-TW"/>
    </w:rPr>
  </w:style>
  <w:style w:type="character" w:styleId="Strong">
    <w:name w:val="Strong"/>
    <w:basedOn w:val="DefaultParagraphFont"/>
    <w:qFormat/>
    <w:rsid w:val="001D73F7"/>
    <w:rPr>
      <w:b/>
      <w:bCs/>
    </w:rPr>
  </w:style>
  <w:style w:type="character" w:styleId="Hyperlink">
    <w:name w:val="Hyperlink"/>
    <w:basedOn w:val="DefaultParagraphFont"/>
    <w:rsid w:val="001D73F7"/>
    <w:rPr>
      <w:color w:val="0000FF"/>
      <w:u w:val="single"/>
    </w:rPr>
  </w:style>
  <w:style w:type="paragraph" w:styleId="Date">
    <w:name w:val="Date"/>
    <w:basedOn w:val="Normal"/>
    <w:next w:val="Normal"/>
    <w:rsid w:val="008D64A0"/>
    <w:pPr>
      <w:jc w:val="right"/>
    </w:pPr>
  </w:style>
  <w:style w:type="paragraph" w:styleId="BalloonText">
    <w:name w:val="Balloon Text"/>
    <w:basedOn w:val="Normal"/>
    <w:semiHidden/>
    <w:rsid w:val="00783BFE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42B"/>
    <w:pPr>
      <w:ind w:left="720"/>
    </w:pPr>
  </w:style>
  <w:style w:type="paragraph" w:styleId="BodyTextIndent3">
    <w:name w:val="Body Text Indent 3"/>
    <w:basedOn w:val="Normal"/>
    <w:link w:val="BodyTextIndent3Char"/>
    <w:rsid w:val="00F644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445C"/>
    <w:rPr>
      <w:rFonts w:ascii="Myriad Pro" w:hAnsi="Myriad Pro"/>
      <w:sz w:val="16"/>
      <w:szCs w:val="16"/>
    </w:rPr>
  </w:style>
  <w:style w:type="paragraph" w:styleId="ListBullet">
    <w:name w:val="List Bullet"/>
    <w:basedOn w:val="Normal"/>
    <w:uiPriority w:val="99"/>
    <w:unhideWhenUsed/>
    <w:rsid w:val="00F6445C"/>
    <w:pPr>
      <w:numPr>
        <w:numId w:val="1"/>
      </w:numPr>
      <w:spacing w:line="276" w:lineRule="auto"/>
      <w:contextualSpacing/>
    </w:pPr>
    <w:rPr>
      <w:rFonts w:ascii="Calibri" w:eastAsia="Batang" w:hAnsi="Calibri" w:cs="Angsana New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3E7DD7"/>
    <w:rPr>
      <w:rFonts w:ascii="Myriad Pro" w:hAnsi="Myriad Pro"/>
    </w:rPr>
  </w:style>
  <w:style w:type="table" w:styleId="TableGrid">
    <w:name w:val="Table Grid"/>
    <w:basedOn w:val="TableNormal"/>
    <w:uiPriority w:val="59"/>
    <w:rsid w:val="00A77BE5"/>
    <w:rPr>
      <w:rFonts w:ascii="Calibri" w:eastAsia="Malgun Gothic" w:hAnsi="Calibri" w:cs="Angsana New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063C"/>
    <w:rPr>
      <w:rFonts w:ascii="Myriad Pro" w:hAnsi="Myriad Pro"/>
      <w:sz w:val="24"/>
    </w:rPr>
  </w:style>
  <w:style w:type="paragraph" w:styleId="NoSpacing">
    <w:name w:val="No Spacing"/>
    <w:uiPriority w:val="1"/>
    <w:qFormat/>
    <w:rsid w:val="008F660A"/>
    <w:rPr>
      <w:rFonts w:ascii="Calibri" w:eastAsia="Times New Roman" w:hAnsi="Calibri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3F7"/>
    <w:rPr>
      <w:rFonts w:ascii="Myriad Pro" w:hAnsi="Myriad Pro"/>
    </w:rPr>
  </w:style>
  <w:style w:type="paragraph" w:styleId="Heading1">
    <w:name w:val="heading 1"/>
    <w:basedOn w:val="Normal"/>
    <w:next w:val="Normal"/>
    <w:qFormat/>
    <w:rsid w:val="001D73F7"/>
    <w:pPr>
      <w:keepNext/>
      <w:outlineLvl w:val="0"/>
    </w:pPr>
    <w:rPr>
      <w:rFonts w:cs="Tahoma"/>
      <w:sz w:val="24"/>
    </w:rPr>
  </w:style>
  <w:style w:type="paragraph" w:styleId="Heading2">
    <w:name w:val="heading 2"/>
    <w:basedOn w:val="Normal"/>
    <w:next w:val="Normal"/>
    <w:qFormat/>
    <w:rsid w:val="001D73F7"/>
    <w:pPr>
      <w:keepNext/>
      <w:jc w:val="center"/>
      <w:outlineLvl w:val="1"/>
    </w:pPr>
    <w:rPr>
      <w:i/>
      <w:iCs/>
      <w:sz w:val="24"/>
      <w:szCs w:val="24"/>
      <w:lang w:eastAsia="zh-TW"/>
    </w:rPr>
  </w:style>
  <w:style w:type="paragraph" w:styleId="Heading3">
    <w:name w:val="heading 3"/>
    <w:basedOn w:val="Normal"/>
    <w:next w:val="Normal"/>
    <w:qFormat/>
    <w:rsid w:val="001D73F7"/>
    <w:pPr>
      <w:keepNext/>
      <w:ind w:left="720"/>
      <w:jc w:val="both"/>
      <w:outlineLvl w:val="2"/>
    </w:pPr>
    <w:rPr>
      <w:b/>
      <w:bCs/>
      <w:i/>
      <w:iCs/>
      <w:sz w:val="24"/>
      <w:szCs w:val="24"/>
      <w:lang w:eastAsia="zh-TW"/>
    </w:rPr>
  </w:style>
  <w:style w:type="paragraph" w:styleId="Heading4">
    <w:name w:val="heading 4"/>
    <w:basedOn w:val="Normal"/>
    <w:next w:val="Normal"/>
    <w:qFormat/>
    <w:rsid w:val="001D73F7"/>
    <w:pPr>
      <w:keepNext/>
      <w:jc w:val="right"/>
      <w:outlineLvl w:val="3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3F7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1D73F7"/>
  </w:style>
  <w:style w:type="paragraph" w:customStyle="1" w:styleId="Memoheading">
    <w:name w:val="Memo heading"/>
    <w:rsid w:val="001D73F7"/>
    <w:rPr>
      <w:noProof/>
    </w:rPr>
  </w:style>
  <w:style w:type="paragraph" w:customStyle="1" w:styleId="InterofficeMemorandumheading">
    <w:name w:val="Interoffice Memorandum heading"/>
    <w:basedOn w:val="Memoheading"/>
    <w:rsid w:val="001D73F7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rsid w:val="001D73F7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Footer">
    <w:name w:val="footer"/>
    <w:basedOn w:val="Normal"/>
    <w:link w:val="FooterChar"/>
    <w:uiPriority w:val="99"/>
    <w:rsid w:val="001D73F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D73F7"/>
    <w:pPr>
      <w:ind w:left="720"/>
      <w:jc w:val="both"/>
    </w:pPr>
    <w:rPr>
      <w:b/>
      <w:bCs/>
      <w:i/>
      <w:iCs/>
      <w:sz w:val="24"/>
      <w:szCs w:val="24"/>
      <w:lang w:eastAsia="zh-TW"/>
    </w:rPr>
  </w:style>
  <w:style w:type="character" w:styleId="Strong">
    <w:name w:val="Strong"/>
    <w:basedOn w:val="DefaultParagraphFont"/>
    <w:qFormat/>
    <w:rsid w:val="001D73F7"/>
    <w:rPr>
      <w:b/>
      <w:bCs/>
    </w:rPr>
  </w:style>
  <w:style w:type="character" w:styleId="Hyperlink">
    <w:name w:val="Hyperlink"/>
    <w:basedOn w:val="DefaultParagraphFont"/>
    <w:rsid w:val="001D73F7"/>
    <w:rPr>
      <w:color w:val="0000FF"/>
      <w:u w:val="single"/>
    </w:rPr>
  </w:style>
  <w:style w:type="paragraph" w:styleId="Date">
    <w:name w:val="Date"/>
    <w:basedOn w:val="Normal"/>
    <w:next w:val="Normal"/>
    <w:rsid w:val="008D64A0"/>
    <w:pPr>
      <w:jc w:val="right"/>
    </w:pPr>
  </w:style>
  <w:style w:type="paragraph" w:styleId="BalloonText">
    <w:name w:val="Balloon Text"/>
    <w:basedOn w:val="Normal"/>
    <w:semiHidden/>
    <w:rsid w:val="00783BFE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42B"/>
    <w:pPr>
      <w:ind w:left="720"/>
    </w:pPr>
  </w:style>
  <w:style w:type="paragraph" w:styleId="BodyTextIndent3">
    <w:name w:val="Body Text Indent 3"/>
    <w:basedOn w:val="Normal"/>
    <w:link w:val="BodyTextIndent3Char"/>
    <w:rsid w:val="00F644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445C"/>
    <w:rPr>
      <w:rFonts w:ascii="Myriad Pro" w:hAnsi="Myriad Pro"/>
      <w:sz w:val="16"/>
      <w:szCs w:val="16"/>
    </w:rPr>
  </w:style>
  <w:style w:type="paragraph" w:styleId="ListBullet">
    <w:name w:val="List Bullet"/>
    <w:basedOn w:val="Normal"/>
    <w:uiPriority w:val="99"/>
    <w:unhideWhenUsed/>
    <w:rsid w:val="00F6445C"/>
    <w:pPr>
      <w:numPr>
        <w:numId w:val="1"/>
      </w:numPr>
      <w:spacing w:line="276" w:lineRule="auto"/>
      <w:contextualSpacing/>
    </w:pPr>
    <w:rPr>
      <w:rFonts w:ascii="Calibri" w:eastAsia="Batang" w:hAnsi="Calibri" w:cs="Angsana New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3E7DD7"/>
    <w:rPr>
      <w:rFonts w:ascii="Myriad Pro" w:hAnsi="Myriad Pro"/>
    </w:rPr>
  </w:style>
  <w:style w:type="table" w:styleId="TableGrid">
    <w:name w:val="Table Grid"/>
    <w:basedOn w:val="TableNormal"/>
    <w:uiPriority w:val="59"/>
    <w:rsid w:val="00A77BE5"/>
    <w:rPr>
      <w:rFonts w:ascii="Calibri" w:eastAsia="Malgun Gothic" w:hAnsi="Calibri" w:cs="Angsana New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4F063C"/>
    <w:rPr>
      <w:rFonts w:ascii="Myriad Pro" w:hAnsi="Myriad Pro"/>
      <w:sz w:val="24"/>
    </w:rPr>
  </w:style>
  <w:style w:type="paragraph" w:styleId="NoSpacing">
    <w:name w:val="No Spacing"/>
    <w:uiPriority w:val="1"/>
    <w:qFormat/>
    <w:rsid w:val="008F660A"/>
    <w:rPr>
      <w:rFonts w:ascii="Calibri" w:eastAsia="Times New Roman" w:hAnsi="Calibr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3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7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74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9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9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9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4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6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1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9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4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1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13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16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3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9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7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52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3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1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7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8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2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2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34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68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9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1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0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7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microsoft.com/office/2007/relationships/stylesWithEffects" Target="stylesWithEffects.xml"/><Relationship Id="rId30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NDP\UNDP%20-%20English\Letterhead%20(A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OPPFunctionalArea xmlns="f1161f5b-24a3-4c2d-bc81-44cb9325e8ee">Programme and Project</UNDPPOPPFunctionalArea>
    <UndpOUCode xmlns="1ed4137b-41b2-488b-8250-6d369ec27664">PRK</UndpOUCode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Energy</TermName>
          <TermId xmlns="http://schemas.microsoft.com/office/infopath/2007/PartnerControls">507850c5-118d-4c78-99b1-c760df552b10</TermId>
        </TermInfo>
      </Terms>
    </UNDPFocusArea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PRK</TermName>
          <TermId xmlns="http://schemas.microsoft.com/office/infopath/2007/PartnerControls">94ccbeaf-3dd8-4504-8f45-de341d9495c5</TermId>
        </TermInfo>
      </Terms>
    </gc6531b704974d528487414686b72f6f>
    <UndpDocID xmlns="1ed4137b-41b2-488b-8250-6d369ec27664" xsi:nil="true"/>
    <b6db62fdefd74bd188b0c1cc54de5bcf xmlns="1ed4137b-41b2-488b-8250-6d369ec27664">
      <Terms xmlns="http://schemas.microsoft.com/office/infopath/2007/PartnerControls"/>
    </b6db62fdefd74bd188b0c1cc54de5bcf>
    <UNDPSummary xmlns="f1161f5b-24a3-4c2d-bc81-44cb9325e8ee" xsi:nil="true"/>
    <Outcome1 xmlns="f1161f5b-24a3-4c2d-bc81-44cb9325e8ee">00050817</Outcome1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DPR Korea</TermName>
          <TermId xmlns="http://schemas.microsoft.com/office/infopath/2007/PartnerControls">319aa154-2b63-45b6-85f0-5012c240f6cc</TermId>
        </TermInfo>
      </Terms>
    </UNDPCountryTaxHTField0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c4e2ab2cc9354bbf9064eeb465a566ea xmlns="1ed4137b-41b2-488b-8250-6d369ec27664">
      <Terms xmlns="http://schemas.microsoft.com/office/infopath/2007/PartnerControls"/>
    </c4e2ab2cc9354bbf9064eeb465a566ea>
    <Project_x0020_Manager xmlns="f1161f5b-24a3-4c2d-bc81-44cb9325e8ee" xsi:nil="true"/>
    <_dlc_DocId xmlns="f1161f5b-24a3-4c2d-bc81-44cb9325e8ee">ATLASPDC-4-47059</_dlc_DocId>
    <TaxCatchAll xmlns="1ed4137b-41b2-488b-8250-6d369ec27664">
      <Value>763</Value>
      <Value>1594</Value>
      <Value>296</Value>
      <Value>1602</Value>
      <Value>1107</Value>
      <Value>1</Value>
    </TaxCatchAll>
    <_Publisher xmlns="http://schemas.microsoft.com/sharepoint/v3/fields" xsi:nil="true"/>
    <UndpDocStatus xmlns="1ed4137b-41b2-488b-8250-6d369ec27664">Draft</UndpDocStatus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 xsi:nil="true"/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UNDPDocumentCategoryTaxHTField0 xmlns="1ed4137b-41b2-488b-8250-6d369ec27664">
      <Terms xmlns="http://schemas.microsoft.com/office/infopath/2007/PartnerControls"/>
    </UNDPDocumentCategoryTaxHTField0>
    <UndpDocFormat xmlns="1ed4137b-41b2-488b-8250-6d369ec27664" xsi:nil="true"/>
    <UNDPPublishedDate xmlns="f1161f5b-24a3-4c2d-bc81-44cb9325e8ee">2016-04-04T02:00:00+00:00</UNDPPublishedDate>
    <UndpClassificationLevel xmlns="1ed4137b-41b2-488b-8250-6d369ec27664">Public</UndpClassificationLevel>
    <UndpIsTemplate xmlns="1ed4137b-41b2-488b-8250-6d369ec27664">No</UndpIsTemplate>
    <PDC_x0020_Document_x0020_Category xmlns="f1161f5b-24a3-4c2d-bc81-44cb9325e8ee">Project</PDC_x0020_Document_x0020_Category>
    <UndpDocTypeMMTaxHTField0 xmlns="1ed4137b-41b2-488b-8250-6d369ec27664">
      <Terms xmlns="http://schemas.microsoft.com/office/infopath/2007/PartnerControls"/>
    </UndpDocTypeMMTaxHTField0>
    <UndpProjectNo xmlns="1ed4137b-41b2-488b-8250-6d369ec27664">00043495</UndpProjectNo>
    <_dlc_DocIdUrl xmlns="f1161f5b-24a3-4c2d-bc81-44cb9325e8ee">
      <Url>https://info.undp.org/docs/pdc/_layouts/DocIdRedir.aspx?ID=ATLASPDC-4-47059</Url>
      <Description>ATLASPDC-4-47059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A1997C0-3A91-4E92-B9EB-20D53442BC0D}"/>
</file>

<file path=customXml/itemProps2.xml><?xml version="1.0" encoding="utf-8"?>
<ds:datastoreItem xmlns:ds="http://schemas.openxmlformats.org/officeDocument/2006/customXml" ds:itemID="{6AB55B2A-063F-42C3-B08F-17BDFC2E8D4A}"/>
</file>

<file path=customXml/itemProps3.xml><?xml version="1.0" encoding="utf-8"?>
<ds:datastoreItem xmlns:ds="http://schemas.openxmlformats.org/officeDocument/2006/customXml" ds:itemID="{82D8E548-E296-47D8-AB68-A0253DF71C3F}"/>
</file>

<file path=customXml/itemProps4.xml><?xml version="1.0" encoding="utf-8"?>
<ds:datastoreItem xmlns:ds="http://schemas.openxmlformats.org/officeDocument/2006/customXml" ds:itemID="{06BEEFDB-8CE0-4F9E-AC7A-0B964C549663}"/>
</file>

<file path=customXml/itemProps5.xml><?xml version="1.0" encoding="utf-8"?>
<ds:datastoreItem xmlns:ds="http://schemas.openxmlformats.org/officeDocument/2006/customXml" ds:itemID="{07EB8D97-C0E5-4E88-A479-A3DB0ABF8ABA}"/>
</file>

<file path=customXml/itemProps6.xml><?xml version="1.0" encoding="utf-8"?>
<ds:datastoreItem xmlns:ds="http://schemas.openxmlformats.org/officeDocument/2006/customXml" ds:itemID="{A8AEBE88-1AF3-4277-B2F9-96B02C2B5C25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(A4)</Template>
  <TotalTime>0</TotalTime>
  <Pages>10</Pages>
  <Words>1221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United Nations Plaza ’ New York, NY 10017 ’ Telephone: (212) 906-5000 ’ Fax: (212) 906-5001 ’ Internet: HQ@undp</vt:lpstr>
    </vt:vector>
  </TitlesOfParts>
  <Company>UNDP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le.le.lan</cp:lastModifiedBy>
  <cp:revision>2</cp:revision>
  <cp:lastPrinted>2006-06-16T06:48:00Z</cp:lastPrinted>
  <dcterms:created xsi:type="dcterms:W3CDTF">2015-03-12T11:06:00Z</dcterms:created>
  <dcterms:modified xsi:type="dcterms:W3CDTF">2015-03-12T11:06:00Z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las_x0020_Document_x0020_Type">
    <vt:lpwstr>235;#Other|31c9cb5b-e3a5-4ce8-95bd-eda20410466c</vt:lpwstr>
  </property>
  <property fmtid="{D5CDD505-2E9C-101B-9397-08002B2CF9AE}" pid="3" name="UNDPCountry">
    <vt:lpwstr>1602;#DPR Korea|319aa154-2b63-45b6-85f0-5012c240f6cc</vt:lpwstr>
  </property>
  <property fmtid="{D5CDD505-2E9C-101B-9397-08002B2CF9AE}" pid="4" name="UNDPDocumentCategory">
    <vt:lpwstr/>
  </property>
  <property fmtid="{D5CDD505-2E9C-101B-9397-08002B2CF9AE}" pid="5" name="ContentTypeId">
    <vt:lpwstr>0x010100F075C04BA242A84ABD3293E3AD35CDA400AB50428DC784B44FAACCAA5FAE40C0590045B5E632B552204ABF0E616DD66BDA0F</vt:lpwstr>
  </property>
  <property fmtid="{D5CDD505-2E9C-101B-9397-08002B2CF9AE}" pid="6" name="UnitTaxHTField0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Operating Unit0">
    <vt:lpwstr>1594;#PRK|94ccbeaf-3dd8-4504-8f45-de341d9495c5</vt:lpwstr>
  </property>
  <property fmtid="{D5CDD505-2E9C-101B-9397-08002B2CF9AE}" pid="9" name="Atlas Document Status">
    <vt:lpwstr>763;#Draft|121d40a5-e62e-4d42-82e4-d6d12003de0a</vt:lpwstr>
  </property>
  <property fmtid="{D5CDD505-2E9C-101B-9397-08002B2CF9AE}" pid="10" name="_dlc_DocIdItemGuid">
    <vt:lpwstr>a5738879-6660-4d03-ac57-4b95566adb87</vt:lpwstr>
  </property>
  <property fmtid="{D5CDD505-2E9C-101B-9397-08002B2CF9AE}" pid="11" name="Atlas Document Type">
    <vt:lpwstr>1107;#Other|10be685e-4bef-4aec-b905-4df3748c0781</vt:lpwstr>
  </property>
  <property fmtid="{D5CDD505-2E9C-101B-9397-08002B2CF9AE}" pid="12" name="eRegFilingCodeMM">
    <vt:lpwstr/>
  </property>
  <property fmtid="{D5CDD505-2E9C-101B-9397-08002B2CF9AE}" pid="13" name="UndpUnitMM">
    <vt:lpwstr/>
  </property>
  <property fmtid="{D5CDD505-2E9C-101B-9397-08002B2CF9AE}" pid="14" name="Unit">
    <vt:lpwstr/>
  </property>
  <property fmtid="{D5CDD505-2E9C-101B-9397-08002B2CF9AE}" pid="15" name="UNDPFocusAreas">
    <vt:lpwstr>296;#Environment and Energy|507850c5-118d-4c78-99b1-c760df552b10</vt:lpwstr>
  </property>
  <property fmtid="{D5CDD505-2E9C-101B-9397-08002B2CF9AE}" pid="16" name="UndpDocTypeMM">
    <vt:lpwstr/>
  </property>
  <property fmtid="{D5CDD505-2E9C-101B-9397-08002B2CF9AE}" pid="17" name="URL">
    <vt:lpwstr/>
  </property>
  <property fmtid="{D5CDD505-2E9C-101B-9397-08002B2CF9AE}" pid="18" name="DocumentSetDescription">
    <vt:lpwstr/>
  </property>
</Properties>
</file>